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B4" w:rsidRPr="00206081" w:rsidRDefault="00233639" w:rsidP="00206081">
      <w:pPr>
        <w:rPr>
          <w:lang w:val="en-US"/>
        </w:rPr>
      </w:pPr>
      <w:r w:rsidRPr="00233639">
        <w:rPr>
          <w:lang w:val="en-US"/>
        </w:rPr>
        <w:t xml:space="preserve">List of Purpose of </w:t>
      </w:r>
      <w:r w:rsidR="00480C08" w:rsidRPr="00233639">
        <w:rPr>
          <w:lang w:val="en-US"/>
        </w:rPr>
        <w:t xml:space="preserve">payment codes </w:t>
      </w:r>
      <w:r w:rsidRPr="00233639">
        <w:rPr>
          <w:lang w:val="en-US"/>
        </w:rPr>
        <w:t xml:space="preserve">for SWIFT MT103 </w:t>
      </w:r>
      <w:r w:rsidR="00480C08" w:rsidRPr="00233639">
        <w:rPr>
          <w:lang w:val="en-US"/>
        </w:rPr>
        <w:t xml:space="preserve">international remittances </w:t>
      </w:r>
      <w:r w:rsidRPr="00233639">
        <w:rPr>
          <w:lang w:val="en-US"/>
        </w:rPr>
        <w:t>received into and sent from bank accounts held within the UAE</w:t>
      </w:r>
    </w:p>
    <w:p w:rsidR="005F50B4" w:rsidRPr="00206081" w:rsidRDefault="005F50B4">
      <w:pPr>
        <w:spacing w:line="259" w:lineRule="auto"/>
        <w:ind w:left="203"/>
        <w:rPr>
          <w:lang w:val="en-US"/>
        </w:rPr>
      </w:pPr>
    </w:p>
    <w:tbl>
      <w:tblPr>
        <w:tblStyle w:val="TableGrid"/>
        <w:tblW w:w="9573" w:type="dxa"/>
        <w:tblInd w:w="-108" w:type="dxa"/>
        <w:tblCellMar>
          <w:top w:w="9" w:type="dxa"/>
          <w:left w:w="106" w:type="dxa"/>
          <w:right w:w="53" w:type="dxa"/>
        </w:tblCellMar>
        <w:tblLook w:val="04A0" w:firstRow="1" w:lastRow="0" w:firstColumn="1" w:lastColumn="0" w:noHBand="0" w:noVBand="1"/>
      </w:tblPr>
      <w:tblGrid>
        <w:gridCol w:w="1752"/>
        <w:gridCol w:w="1148"/>
        <w:gridCol w:w="6673"/>
      </w:tblGrid>
      <w:tr w:rsidR="005F50B4">
        <w:trPr>
          <w:trHeight w:val="240"/>
        </w:trPr>
        <w:tc>
          <w:tcPr>
            <w:tcW w:w="1752" w:type="dxa"/>
            <w:tcBorders>
              <w:top w:val="single" w:sz="4" w:space="0" w:color="000000"/>
              <w:left w:val="single" w:sz="4" w:space="0" w:color="000000"/>
              <w:bottom w:val="single" w:sz="4" w:space="0" w:color="000000"/>
              <w:right w:val="single" w:sz="4" w:space="0" w:color="000000"/>
            </w:tcBorders>
          </w:tcPr>
          <w:p w:rsidR="005F50B4" w:rsidRDefault="00206081">
            <w:pPr>
              <w:spacing w:line="259" w:lineRule="auto"/>
              <w:ind w:right="55"/>
            </w:pPr>
            <w:r>
              <w:rPr>
                <w:lang w:val="en-US"/>
              </w:rPr>
              <w:t>Group</w:t>
            </w:r>
            <w:r w:rsidR="007764A7">
              <w:t xml:space="preserve"> </w:t>
            </w:r>
          </w:p>
        </w:tc>
        <w:tc>
          <w:tcPr>
            <w:tcW w:w="1148" w:type="dxa"/>
            <w:tcBorders>
              <w:top w:val="single" w:sz="4" w:space="0" w:color="000000"/>
              <w:left w:val="single" w:sz="4" w:space="0" w:color="000000"/>
              <w:bottom w:val="single" w:sz="4" w:space="0" w:color="000000"/>
              <w:right w:val="single" w:sz="4" w:space="0" w:color="000000"/>
            </w:tcBorders>
          </w:tcPr>
          <w:p w:rsidR="005F50B4" w:rsidRPr="00206081" w:rsidRDefault="00206081">
            <w:pPr>
              <w:spacing w:line="259" w:lineRule="auto"/>
              <w:ind w:right="56"/>
              <w:rPr>
                <w:lang w:val="en-US"/>
              </w:rPr>
            </w:pPr>
            <w:r>
              <w:rPr>
                <w:lang w:val="en-US"/>
              </w:rPr>
              <w:t>Code</w:t>
            </w:r>
          </w:p>
        </w:tc>
        <w:tc>
          <w:tcPr>
            <w:tcW w:w="6673" w:type="dxa"/>
            <w:tcBorders>
              <w:top w:val="single" w:sz="4" w:space="0" w:color="000000"/>
              <w:left w:val="single" w:sz="4" w:space="0" w:color="000000"/>
              <w:bottom w:val="single" w:sz="4" w:space="0" w:color="000000"/>
              <w:right w:val="single" w:sz="4" w:space="0" w:color="000000"/>
            </w:tcBorders>
          </w:tcPr>
          <w:p w:rsidR="005F50B4" w:rsidRDefault="00206081">
            <w:pPr>
              <w:spacing w:line="259" w:lineRule="auto"/>
              <w:ind w:right="64"/>
            </w:pPr>
            <w:r>
              <w:rPr>
                <w:lang w:val="en-US"/>
              </w:rPr>
              <w:t>Payment details</w:t>
            </w:r>
            <w:r w:rsidR="007764A7">
              <w:t xml:space="preserve"> </w:t>
            </w:r>
          </w:p>
        </w:tc>
      </w:tr>
      <w:tr w:rsidR="005F50B4" w:rsidRPr="00233639">
        <w:trPr>
          <w:trHeight w:val="240"/>
        </w:trPr>
        <w:tc>
          <w:tcPr>
            <w:tcW w:w="9573" w:type="dxa"/>
            <w:gridSpan w:val="3"/>
            <w:tcBorders>
              <w:top w:val="single" w:sz="4" w:space="0" w:color="000000"/>
              <w:left w:val="single" w:sz="4" w:space="0" w:color="000000"/>
              <w:bottom w:val="single" w:sz="4" w:space="0" w:color="000000"/>
              <w:right w:val="single" w:sz="4" w:space="0" w:color="000000"/>
            </w:tcBorders>
          </w:tcPr>
          <w:p w:rsidR="005F50B4" w:rsidRPr="00AF617E" w:rsidRDefault="007764A7" w:rsidP="00AF617E">
            <w:pPr>
              <w:spacing w:line="259" w:lineRule="auto"/>
              <w:ind w:right="55"/>
              <w:rPr>
                <w:lang w:val="en-US"/>
              </w:rPr>
            </w:pPr>
            <w:r w:rsidRPr="00206081">
              <w:rPr>
                <w:lang w:val="en-US"/>
              </w:rPr>
              <w:t xml:space="preserve">1. </w:t>
            </w:r>
            <w:r w:rsidR="00206081">
              <w:rPr>
                <w:lang w:val="en-US"/>
              </w:rPr>
              <w:t xml:space="preserve">Payments </w:t>
            </w:r>
            <w:r w:rsidR="00AF617E">
              <w:rPr>
                <w:lang w:val="en-US"/>
              </w:rPr>
              <w:t xml:space="preserve">and other proceeds </w:t>
            </w:r>
            <w:r w:rsidR="00206081">
              <w:rPr>
                <w:lang w:val="en-US"/>
              </w:rPr>
              <w:t>on Goods/Services/Revenues</w:t>
            </w:r>
          </w:p>
        </w:tc>
      </w:tr>
      <w:tr w:rsidR="005F50B4" w:rsidRPr="00233639">
        <w:trPr>
          <w:trHeight w:val="240"/>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Default="00206081">
            <w:pPr>
              <w:spacing w:line="259" w:lineRule="auto"/>
              <w:ind w:right="54"/>
            </w:pPr>
            <w:r>
              <w:rPr>
                <w:lang w:val="en-US"/>
              </w:rPr>
              <w:t>Export and Import</w:t>
            </w:r>
            <w:r w:rsidR="007764A7">
              <w:t xml:space="preserve"> </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GDE </w:t>
            </w:r>
          </w:p>
        </w:tc>
        <w:tc>
          <w:tcPr>
            <w:tcW w:w="6673" w:type="dxa"/>
            <w:tcBorders>
              <w:top w:val="single" w:sz="4" w:space="0" w:color="000000"/>
              <w:left w:val="single" w:sz="4" w:space="0" w:color="000000"/>
              <w:bottom w:val="single" w:sz="4" w:space="0" w:color="000000"/>
              <w:right w:val="single" w:sz="4" w:space="0" w:color="000000"/>
            </w:tcBorders>
          </w:tcPr>
          <w:p w:rsidR="005F50B4" w:rsidRPr="00D4682F" w:rsidRDefault="00D4682F" w:rsidP="00D4682F">
            <w:pPr>
              <w:spacing w:line="259" w:lineRule="auto"/>
              <w:jc w:val="left"/>
              <w:rPr>
                <w:lang w:val="en-US"/>
              </w:rPr>
            </w:pPr>
            <w:r>
              <w:rPr>
                <w:b w:val="0"/>
                <w:lang w:val="en-US"/>
              </w:rPr>
              <w:t>Goods sold to non-resident of UAE (export)</w:t>
            </w:r>
            <w:r w:rsidR="007764A7" w:rsidRPr="00D4682F">
              <w:rPr>
                <w:b w:val="0"/>
                <w:lang w:val="en-US"/>
              </w:rPr>
              <w:t xml:space="preserve"> </w:t>
            </w:r>
          </w:p>
        </w:tc>
      </w:tr>
      <w:tr w:rsidR="005F50B4" w:rsidRPr="00233639">
        <w:trPr>
          <w:trHeight w:val="240"/>
        </w:trPr>
        <w:tc>
          <w:tcPr>
            <w:tcW w:w="0" w:type="auto"/>
            <w:vMerge/>
            <w:tcBorders>
              <w:top w:val="nil"/>
              <w:left w:val="single" w:sz="4" w:space="0" w:color="000000"/>
              <w:bottom w:val="single" w:sz="4" w:space="0" w:color="000000"/>
              <w:right w:val="single" w:sz="4" w:space="0" w:color="000000"/>
            </w:tcBorders>
          </w:tcPr>
          <w:p w:rsidR="005F50B4" w:rsidRPr="00D4682F"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GDI </w:t>
            </w:r>
          </w:p>
        </w:tc>
        <w:tc>
          <w:tcPr>
            <w:tcW w:w="6673" w:type="dxa"/>
            <w:tcBorders>
              <w:top w:val="single" w:sz="4" w:space="0" w:color="000000"/>
              <w:left w:val="single" w:sz="4" w:space="0" w:color="000000"/>
              <w:bottom w:val="single" w:sz="4" w:space="0" w:color="000000"/>
              <w:right w:val="single" w:sz="4" w:space="0" w:color="000000"/>
            </w:tcBorders>
          </w:tcPr>
          <w:p w:rsidR="005F50B4" w:rsidRPr="00D4682F" w:rsidRDefault="00D4682F" w:rsidP="00D1576A">
            <w:pPr>
              <w:spacing w:line="259" w:lineRule="auto"/>
              <w:jc w:val="left"/>
              <w:rPr>
                <w:lang w:val="en-US"/>
              </w:rPr>
            </w:pPr>
            <w:r>
              <w:rPr>
                <w:b w:val="0"/>
                <w:lang w:val="en-US"/>
              </w:rPr>
              <w:t xml:space="preserve">Goods </w:t>
            </w:r>
            <w:r w:rsidR="00D1576A">
              <w:rPr>
                <w:b w:val="0"/>
                <w:lang w:val="en-US"/>
              </w:rPr>
              <w:t>bought</w:t>
            </w:r>
            <w:r>
              <w:rPr>
                <w:b w:val="0"/>
                <w:lang w:val="en-US"/>
              </w:rPr>
              <w:t>d from non-resident of UAE (import)</w:t>
            </w:r>
            <w:r w:rsidR="007764A7" w:rsidRPr="00D4682F">
              <w:rPr>
                <w:b w:val="0"/>
                <w:lang w:val="en-US"/>
              </w:rPr>
              <w:t xml:space="preserve"> </w:t>
            </w:r>
          </w:p>
        </w:tc>
      </w:tr>
      <w:tr w:rsidR="005F50B4">
        <w:trPr>
          <w:trHeight w:val="240"/>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Default="00D4682F" w:rsidP="00D4682F">
            <w:pPr>
              <w:spacing w:line="259" w:lineRule="auto"/>
            </w:pPr>
            <w:r>
              <w:rPr>
                <w:lang w:val="en-US"/>
              </w:rPr>
              <w:t>Transportation and Travel</w:t>
            </w:r>
            <w:r w:rsidR="007764A7">
              <w:t xml:space="preserve"> </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STS </w:t>
            </w:r>
          </w:p>
        </w:tc>
        <w:tc>
          <w:tcPr>
            <w:tcW w:w="6673" w:type="dxa"/>
            <w:tcBorders>
              <w:top w:val="single" w:sz="4" w:space="0" w:color="000000"/>
              <w:left w:val="single" w:sz="4" w:space="0" w:color="000000"/>
              <w:bottom w:val="single" w:sz="4" w:space="0" w:color="000000"/>
              <w:right w:val="single" w:sz="4" w:space="0" w:color="000000"/>
            </w:tcBorders>
          </w:tcPr>
          <w:p w:rsidR="005F50B4" w:rsidRDefault="00D1576A">
            <w:pPr>
              <w:spacing w:line="259" w:lineRule="auto"/>
              <w:jc w:val="left"/>
            </w:pPr>
            <w:r>
              <w:rPr>
                <w:b w:val="0"/>
                <w:lang w:val="en-US"/>
              </w:rPr>
              <w:t>Sea</w:t>
            </w:r>
            <w:r w:rsidR="00D4682F">
              <w:rPr>
                <w:b w:val="0"/>
                <w:lang w:val="en-US"/>
              </w:rPr>
              <w:t xml:space="preserve"> transport</w:t>
            </w:r>
            <w:r w:rsidR="007764A7">
              <w:rPr>
                <w:b w:val="0"/>
              </w:rPr>
              <w:t xml:space="preserve"> </w:t>
            </w:r>
          </w:p>
        </w:tc>
      </w:tr>
      <w:tr w:rsidR="005F50B4">
        <w:trPr>
          <w:trHeight w:val="240"/>
        </w:trPr>
        <w:tc>
          <w:tcPr>
            <w:tcW w:w="0" w:type="auto"/>
            <w:vMerge/>
            <w:tcBorders>
              <w:top w:val="nil"/>
              <w:left w:val="single" w:sz="4" w:space="0" w:color="000000"/>
              <w:bottom w:val="nil"/>
              <w:right w:val="single" w:sz="4" w:space="0" w:color="000000"/>
            </w:tcBorders>
            <w:vAlign w:val="bottom"/>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ATS </w:t>
            </w:r>
          </w:p>
        </w:tc>
        <w:tc>
          <w:tcPr>
            <w:tcW w:w="6673" w:type="dxa"/>
            <w:tcBorders>
              <w:top w:val="single" w:sz="4" w:space="0" w:color="000000"/>
              <w:left w:val="single" w:sz="4" w:space="0" w:color="000000"/>
              <w:bottom w:val="single" w:sz="4" w:space="0" w:color="000000"/>
              <w:right w:val="single" w:sz="4" w:space="0" w:color="000000"/>
            </w:tcBorders>
          </w:tcPr>
          <w:p w:rsidR="005F50B4" w:rsidRPr="00D4682F" w:rsidRDefault="00D4682F">
            <w:pPr>
              <w:spacing w:line="259" w:lineRule="auto"/>
              <w:jc w:val="left"/>
              <w:rPr>
                <w:lang w:val="en-US"/>
              </w:rPr>
            </w:pPr>
            <w:r>
              <w:rPr>
                <w:b w:val="0"/>
                <w:lang w:val="en-US"/>
              </w:rPr>
              <w:t>Air transport</w:t>
            </w:r>
          </w:p>
        </w:tc>
      </w:tr>
      <w:tr w:rsidR="005F50B4" w:rsidRPr="007C6468">
        <w:trPr>
          <w:trHeight w:val="240"/>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OTS </w:t>
            </w:r>
          </w:p>
        </w:tc>
        <w:tc>
          <w:tcPr>
            <w:tcW w:w="6673" w:type="dxa"/>
            <w:tcBorders>
              <w:top w:val="single" w:sz="4" w:space="0" w:color="000000"/>
              <w:left w:val="single" w:sz="4" w:space="0" w:color="000000"/>
              <w:bottom w:val="single" w:sz="4" w:space="0" w:color="000000"/>
              <w:right w:val="single" w:sz="4" w:space="0" w:color="000000"/>
            </w:tcBorders>
          </w:tcPr>
          <w:p w:rsidR="005F50B4" w:rsidRPr="007C6468" w:rsidRDefault="007C6468" w:rsidP="007C6468">
            <w:pPr>
              <w:spacing w:line="259" w:lineRule="auto"/>
              <w:jc w:val="left"/>
              <w:rPr>
                <w:b w:val="0"/>
                <w:lang w:val="en-US"/>
              </w:rPr>
            </w:pPr>
            <w:r w:rsidRPr="007C6468">
              <w:rPr>
                <w:b w:val="0"/>
                <w:lang w:val="en-US"/>
              </w:rPr>
              <w:t xml:space="preserve">Other </w:t>
            </w:r>
            <w:r>
              <w:rPr>
                <w:b w:val="0"/>
                <w:lang w:val="en-US"/>
              </w:rPr>
              <w:t>m</w:t>
            </w:r>
            <w:r w:rsidRPr="007C6468">
              <w:rPr>
                <w:b w:val="0"/>
                <w:lang w:val="en-US"/>
              </w:rPr>
              <w:t xml:space="preserve">odes of </w:t>
            </w:r>
            <w:r>
              <w:rPr>
                <w:b w:val="0"/>
                <w:lang w:val="en-US"/>
              </w:rPr>
              <w:t>t</w:t>
            </w:r>
            <w:r w:rsidRPr="007C6468">
              <w:rPr>
                <w:b w:val="0"/>
                <w:lang w:val="en-US"/>
              </w:rPr>
              <w:t>ransport (</w:t>
            </w:r>
            <w:r>
              <w:rPr>
                <w:b w:val="0"/>
                <w:lang w:val="en-US"/>
              </w:rPr>
              <w:t>i</w:t>
            </w:r>
            <w:r w:rsidRPr="007C6468">
              <w:rPr>
                <w:b w:val="0"/>
                <w:lang w:val="en-US"/>
              </w:rPr>
              <w:t xml:space="preserve">Including </w:t>
            </w:r>
            <w:r>
              <w:rPr>
                <w:b w:val="0"/>
                <w:lang w:val="en-US"/>
              </w:rPr>
              <w:t>p</w:t>
            </w:r>
            <w:r w:rsidRPr="007C6468">
              <w:rPr>
                <w:b w:val="0"/>
                <w:lang w:val="en-US"/>
              </w:rPr>
              <w:t xml:space="preserve">ostal </w:t>
            </w:r>
            <w:r>
              <w:rPr>
                <w:b w:val="0"/>
                <w:lang w:val="en-US"/>
              </w:rPr>
              <w:t>a</w:t>
            </w:r>
            <w:r w:rsidRPr="007C6468">
              <w:rPr>
                <w:b w:val="0"/>
                <w:lang w:val="en-US"/>
              </w:rPr>
              <w:t xml:space="preserve">nd </w:t>
            </w:r>
            <w:r>
              <w:rPr>
                <w:b w:val="0"/>
                <w:lang w:val="en-US"/>
              </w:rPr>
              <w:t>c</w:t>
            </w:r>
            <w:r w:rsidRPr="007C6468">
              <w:rPr>
                <w:b w:val="0"/>
                <w:lang w:val="en-US"/>
              </w:rPr>
              <w:t xml:space="preserve">ourier </w:t>
            </w:r>
            <w:r>
              <w:rPr>
                <w:b w:val="0"/>
                <w:lang w:val="en-US"/>
              </w:rPr>
              <w:t>s</w:t>
            </w:r>
            <w:r w:rsidRPr="007C6468">
              <w:rPr>
                <w:b w:val="0"/>
                <w:lang w:val="en-US"/>
              </w:rPr>
              <w:t>ervices)</w:t>
            </w:r>
          </w:p>
        </w:tc>
      </w:tr>
      <w:tr w:rsidR="005F50B4">
        <w:trPr>
          <w:trHeight w:val="240"/>
        </w:trPr>
        <w:tc>
          <w:tcPr>
            <w:tcW w:w="0" w:type="auto"/>
            <w:vMerge/>
            <w:tcBorders>
              <w:top w:val="nil"/>
              <w:left w:val="single" w:sz="4" w:space="0" w:color="000000"/>
              <w:bottom w:val="single" w:sz="4" w:space="0" w:color="000000"/>
              <w:right w:val="single" w:sz="4" w:space="0" w:color="000000"/>
            </w:tcBorders>
          </w:tcPr>
          <w:p w:rsidR="005F50B4" w:rsidRPr="007C6468"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STR </w:t>
            </w:r>
          </w:p>
        </w:tc>
        <w:tc>
          <w:tcPr>
            <w:tcW w:w="6673" w:type="dxa"/>
            <w:tcBorders>
              <w:top w:val="single" w:sz="4" w:space="0" w:color="000000"/>
              <w:left w:val="single" w:sz="4" w:space="0" w:color="000000"/>
              <w:bottom w:val="single" w:sz="4" w:space="0" w:color="000000"/>
              <w:right w:val="single" w:sz="4" w:space="0" w:color="000000"/>
            </w:tcBorders>
          </w:tcPr>
          <w:p w:rsidR="005F50B4" w:rsidRDefault="00D4682F">
            <w:pPr>
              <w:spacing w:line="259" w:lineRule="auto"/>
              <w:jc w:val="left"/>
            </w:pPr>
            <w:r>
              <w:rPr>
                <w:b w:val="0"/>
                <w:lang w:val="en-US"/>
              </w:rPr>
              <w:t>Travel</w:t>
            </w:r>
            <w:r w:rsidR="007764A7">
              <w:rPr>
                <w:b w:val="0"/>
              </w:rPr>
              <w:t xml:space="preserve"> </w:t>
            </w:r>
          </w:p>
        </w:tc>
      </w:tr>
      <w:tr w:rsidR="005F50B4" w:rsidRPr="007C6468">
        <w:trPr>
          <w:trHeight w:val="240"/>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Pr="00336B62" w:rsidRDefault="00336B62">
            <w:pPr>
              <w:spacing w:line="259" w:lineRule="auto"/>
              <w:ind w:right="58"/>
              <w:rPr>
                <w:lang w:val="en-US"/>
              </w:rPr>
            </w:pPr>
            <w:r>
              <w:rPr>
                <w:lang w:val="en-US"/>
              </w:rPr>
              <w:t>Services</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GMS </w:t>
            </w:r>
          </w:p>
        </w:tc>
        <w:tc>
          <w:tcPr>
            <w:tcW w:w="6673" w:type="dxa"/>
            <w:tcBorders>
              <w:top w:val="single" w:sz="4" w:space="0" w:color="000000"/>
              <w:left w:val="single" w:sz="4" w:space="0" w:color="000000"/>
              <w:bottom w:val="single" w:sz="4" w:space="0" w:color="000000"/>
              <w:right w:val="single" w:sz="4" w:space="0" w:color="000000"/>
            </w:tcBorders>
          </w:tcPr>
          <w:p w:rsidR="005F50B4" w:rsidRPr="007C6468" w:rsidRDefault="007C6468" w:rsidP="00001269">
            <w:pPr>
              <w:spacing w:line="259" w:lineRule="auto"/>
              <w:jc w:val="left"/>
              <w:rPr>
                <w:b w:val="0"/>
                <w:lang w:val="en-US"/>
              </w:rPr>
            </w:pPr>
            <w:r>
              <w:rPr>
                <w:b w:val="0"/>
                <w:lang w:val="en-US"/>
              </w:rPr>
              <w:t>P</w:t>
            </w:r>
            <w:r w:rsidRPr="007C6468">
              <w:rPr>
                <w:b w:val="0"/>
                <w:lang w:val="en-US"/>
              </w:rPr>
              <w:t>rocessing repair and maintenance services on goods</w:t>
            </w:r>
          </w:p>
        </w:tc>
      </w:tr>
      <w:tr w:rsidR="005F50B4">
        <w:trPr>
          <w:trHeight w:val="240"/>
        </w:trPr>
        <w:tc>
          <w:tcPr>
            <w:tcW w:w="0" w:type="auto"/>
            <w:vMerge/>
            <w:tcBorders>
              <w:top w:val="nil"/>
              <w:left w:val="single" w:sz="4" w:space="0" w:color="000000"/>
              <w:bottom w:val="nil"/>
              <w:right w:val="single" w:sz="4" w:space="0" w:color="000000"/>
            </w:tcBorders>
          </w:tcPr>
          <w:p w:rsidR="005F50B4" w:rsidRPr="00001269"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SCO </w:t>
            </w:r>
          </w:p>
        </w:tc>
        <w:tc>
          <w:tcPr>
            <w:tcW w:w="6673" w:type="dxa"/>
            <w:tcBorders>
              <w:top w:val="single" w:sz="4" w:space="0" w:color="000000"/>
              <w:left w:val="single" w:sz="4" w:space="0" w:color="000000"/>
              <w:bottom w:val="single" w:sz="4" w:space="0" w:color="000000"/>
              <w:right w:val="single" w:sz="4" w:space="0" w:color="000000"/>
            </w:tcBorders>
          </w:tcPr>
          <w:p w:rsidR="005F50B4" w:rsidRDefault="00001269">
            <w:pPr>
              <w:spacing w:line="259" w:lineRule="auto"/>
              <w:jc w:val="left"/>
            </w:pPr>
            <w:r>
              <w:rPr>
                <w:b w:val="0"/>
                <w:lang w:val="en-US"/>
              </w:rPr>
              <w:t>Construction</w:t>
            </w:r>
            <w:r w:rsidR="007764A7">
              <w:rPr>
                <w:b w:val="0"/>
              </w:rPr>
              <w:t xml:space="preserve"> </w:t>
            </w:r>
          </w:p>
        </w:tc>
      </w:tr>
      <w:tr w:rsidR="005F50B4">
        <w:trPr>
          <w:trHeight w:val="240"/>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INS </w:t>
            </w:r>
          </w:p>
        </w:tc>
        <w:tc>
          <w:tcPr>
            <w:tcW w:w="6673" w:type="dxa"/>
            <w:tcBorders>
              <w:top w:val="single" w:sz="4" w:space="0" w:color="000000"/>
              <w:left w:val="single" w:sz="4" w:space="0" w:color="000000"/>
              <w:bottom w:val="single" w:sz="4" w:space="0" w:color="000000"/>
              <w:right w:val="single" w:sz="4" w:space="0" w:color="000000"/>
            </w:tcBorders>
          </w:tcPr>
          <w:p w:rsidR="005F50B4" w:rsidRDefault="00001269">
            <w:pPr>
              <w:spacing w:line="259" w:lineRule="auto"/>
              <w:jc w:val="left"/>
            </w:pPr>
            <w:r>
              <w:rPr>
                <w:b w:val="0"/>
                <w:lang w:val="en-US"/>
              </w:rPr>
              <w:t>Insurance services</w:t>
            </w:r>
            <w:r w:rsidR="007764A7">
              <w:rPr>
                <w:b w:val="0"/>
              </w:rPr>
              <w:t xml:space="preserve"> </w:t>
            </w:r>
          </w:p>
        </w:tc>
      </w:tr>
      <w:tr w:rsidR="005F50B4">
        <w:trPr>
          <w:trHeight w:val="241"/>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FIS </w:t>
            </w:r>
          </w:p>
        </w:tc>
        <w:tc>
          <w:tcPr>
            <w:tcW w:w="6673" w:type="dxa"/>
            <w:tcBorders>
              <w:top w:val="single" w:sz="4" w:space="0" w:color="000000"/>
              <w:left w:val="single" w:sz="4" w:space="0" w:color="000000"/>
              <w:bottom w:val="single" w:sz="4" w:space="0" w:color="000000"/>
              <w:right w:val="single" w:sz="4" w:space="0" w:color="000000"/>
            </w:tcBorders>
          </w:tcPr>
          <w:p w:rsidR="005F50B4" w:rsidRDefault="00001269">
            <w:pPr>
              <w:spacing w:line="259" w:lineRule="auto"/>
              <w:jc w:val="left"/>
            </w:pPr>
            <w:r>
              <w:rPr>
                <w:b w:val="0"/>
                <w:lang w:val="en-US"/>
              </w:rPr>
              <w:t>Financial services</w:t>
            </w:r>
            <w:r w:rsidR="007764A7">
              <w:rPr>
                <w:b w:val="0"/>
              </w:rPr>
              <w:t xml:space="preserve"> </w:t>
            </w:r>
          </w:p>
        </w:tc>
      </w:tr>
      <w:tr w:rsidR="005F50B4" w:rsidRPr="00233639" w:rsidTr="007C6468">
        <w:trPr>
          <w:trHeight w:val="258"/>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IPC </w:t>
            </w:r>
          </w:p>
        </w:tc>
        <w:tc>
          <w:tcPr>
            <w:tcW w:w="6673" w:type="dxa"/>
            <w:tcBorders>
              <w:top w:val="single" w:sz="4" w:space="0" w:color="000000"/>
              <w:left w:val="single" w:sz="4" w:space="0" w:color="000000"/>
              <w:bottom w:val="single" w:sz="4" w:space="0" w:color="000000"/>
              <w:right w:val="single" w:sz="4" w:space="0" w:color="000000"/>
            </w:tcBorders>
          </w:tcPr>
          <w:p w:rsidR="005F50B4" w:rsidRPr="007C6468" w:rsidRDefault="007C6468" w:rsidP="00001269">
            <w:pPr>
              <w:spacing w:line="259" w:lineRule="auto"/>
              <w:ind w:right="59"/>
              <w:jc w:val="left"/>
              <w:rPr>
                <w:b w:val="0"/>
                <w:lang w:val="en-US"/>
              </w:rPr>
            </w:pPr>
            <w:r>
              <w:rPr>
                <w:b w:val="0"/>
                <w:lang w:val="en-US"/>
              </w:rPr>
              <w:t>C</w:t>
            </w:r>
            <w:r w:rsidRPr="007C6468">
              <w:rPr>
                <w:b w:val="0"/>
                <w:lang w:val="en-US"/>
              </w:rPr>
              <w:t>harges for the use of intellectual property royalties</w:t>
            </w:r>
          </w:p>
        </w:tc>
      </w:tr>
      <w:tr w:rsidR="005F50B4">
        <w:trPr>
          <w:trHeight w:val="240"/>
        </w:trPr>
        <w:tc>
          <w:tcPr>
            <w:tcW w:w="0" w:type="auto"/>
            <w:vMerge/>
            <w:tcBorders>
              <w:top w:val="nil"/>
              <w:left w:val="single" w:sz="4" w:space="0" w:color="000000"/>
              <w:bottom w:val="nil"/>
              <w:right w:val="single" w:sz="4" w:space="0" w:color="000000"/>
            </w:tcBorders>
          </w:tcPr>
          <w:p w:rsidR="005F50B4" w:rsidRPr="00001269"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TCS </w:t>
            </w:r>
          </w:p>
        </w:tc>
        <w:tc>
          <w:tcPr>
            <w:tcW w:w="6673" w:type="dxa"/>
            <w:tcBorders>
              <w:top w:val="single" w:sz="4" w:space="0" w:color="000000"/>
              <w:left w:val="single" w:sz="4" w:space="0" w:color="000000"/>
              <w:bottom w:val="single" w:sz="4" w:space="0" w:color="000000"/>
              <w:right w:val="single" w:sz="4" w:space="0" w:color="000000"/>
            </w:tcBorders>
          </w:tcPr>
          <w:p w:rsidR="005F50B4" w:rsidRPr="00001269" w:rsidRDefault="007C6468">
            <w:pPr>
              <w:spacing w:line="259" w:lineRule="auto"/>
              <w:jc w:val="left"/>
              <w:rPr>
                <w:lang w:val="en-US"/>
              </w:rPr>
            </w:pPr>
            <w:r>
              <w:rPr>
                <w:b w:val="0"/>
                <w:lang w:val="en-US"/>
              </w:rPr>
              <w:t>Telecommunication</w:t>
            </w:r>
            <w:r w:rsidR="00001269">
              <w:rPr>
                <w:b w:val="0"/>
                <w:lang w:val="en-US"/>
              </w:rPr>
              <w:t xml:space="preserve"> services</w:t>
            </w:r>
          </w:p>
        </w:tc>
      </w:tr>
      <w:tr w:rsidR="005F50B4">
        <w:trPr>
          <w:trHeight w:val="240"/>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ITS </w:t>
            </w:r>
          </w:p>
        </w:tc>
        <w:tc>
          <w:tcPr>
            <w:tcW w:w="6673" w:type="dxa"/>
            <w:tcBorders>
              <w:top w:val="single" w:sz="4" w:space="0" w:color="000000"/>
              <w:left w:val="single" w:sz="4" w:space="0" w:color="000000"/>
              <w:bottom w:val="single" w:sz="4" w:space="0" w:color="000000"/>
              <w:right w:val="single" w:sz="4" w:space="0" w:color="000000"/>
            </w:tcBorders>
          </w:tcPr>
          <w:p w:rsidR="005F50B4" w:rsidRPr="00001269" w:rsidRDefault="00001269">
            <w:pPr>
              <w:spacing w:line="259" w:lineRule="auto"/>
              <w:jc w:val="left"/>
              <w:rPr>
                <w:lang w:val="en-US"/>
              </w:rPr>
            </w:pPr>
            <w:r>
              <w:rPr>
                <w:b w:val="0"/>
                <w:lang w:val="en-US"/>
              </w:rPr>
              <w:t>Computer services</w:t>
            </w:r>
          </w:p>
        </w:tc>
      </w:tr>
      <w:tr w:rsidR="005F50B4">
        <w:trPr>
          <w:trHeight w:val="238"/>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IFS </w:t>
            </w:r>
          </w:p>
        </w:tc>
        <w:tc>
          <w:tcPr>
            <w:tcW w:w="6673" w:type="dxa"/>
            <w:tcBorders>
              <w:top w:val="single" w:sz="4" w:space="0" w:color="000000"/>
              <w:left w:val="single" w:sz="4" w:space="0" w:color="000000"/>
              <w:bottom w:val="single" w:sz="4" w:space="0" w:color="000000"/>
              <w:right w:val="single" w:sz="4" w:space="0" w:color="000000"/>
            </w:tcBorders>
          </w:tcPr>
          <w:p w:rsidR="005F50B4" w:rsidRDefault="00001269">
            <w:pPr>
              <w:spacing w:line="259" w:lineRule="auto"/>
              <w:jc w:val="left"/>
            </w:pPr>
            <w:r>
              <w:rPr>
                <w:b w:val="0"/>
                <w:lang w:val="en-US"/>
              </w:rPr>
              <w:t>Information services</w:t>
            </w:r>
            <w:r w:rsidR="007764A7">
              <w:rPr>
                <w:b w:val="0"/>
              </w:rPr>
              <w:t xml:space="preserve"> </w:t>
            </w:r>
          </w:p>
        </w:tc>
      </w:tr>
      <w:tr w:rsidR="005F50B4">
        <w:trPr>
          <w:trHeight w:val="240"/>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RDS </w:t>
            </w:r>
          </w:p>
        </w:tc>
        <w:tc>
          <w:tcPr>
            <w:tcW w:w="6673" w:type="dxa"/>
            <w:tcBorders>
              <w:top w:val="single" w:sz="4" w:space="0" w:color="000000"/>
              <w:left w:val="single" w:sz="4" w:space="0" w:color="000000"/>
              <w:bottom w:val="single" w:sz="4" w:space="0" w:color="000000"/>
              <w:right w:val="single" w:sz="4" w:space="0" w:color="000000"/>
            </w:tcBorders>
          </w:tcPr>
          <w:p w:rsidR="005F50B4" w:rsidRPr="00001269" w:rsidRDefault="00001269">
            <w:pPr>
              <w:spacing w:line="259" w:lineRule="auto"/>
              <w:jc w:val="left"/>
              <w:rPr>
                <w:lang w:val="en-US"/>
              </w:rPr>
            </w:pPr>
            <w:r>
              <w:rPr>
                <w:b w:val="0"/>
                <w:lang w:val="en-US"/>
              </w:rPr>
              <w:t>Research and development services</w:t>
            </w:r>
          </w:p>
        </w:tc>
      </w:tr>
      <w:tr w:rsidR="005F50B4" w:rsidRPr="00233639">
        <w:trPr>
          <w:trHeight w:val="240"/>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PMS </w:t>
            </w:r>
          </w:p>
        </w:tc>
        <w:tc>
          <w:tcPr>
            <w:tcW w:w="6673" w:type="dxa"/>
            <w:tcBorders>
              <w:top w:val="single" w:sz="4" w:space="0" w:color="000000"/>
              <w:left w:val="single" w:sz="4" w:space="0" w:color="000000"/>
              <w:bottom w:val="single" w:sz="4" w:space="0" w:color="000000"/>
              <w:right w:val="single" w:sz="4" w:space="0" w:color="000000"/>
            </w:tcBorders>
          </w:tcPr>
          <w:p w:rsidR="005F50B4" w:rsidRPr="00001269" w:rsidRDefault="00001269" w:rsidP="00001269">
            <w:pPr>
              <w:spacing w:line="259" w:lineRule="auto"/>
              <w:jc w:val="left"/>
              <w:rPr>
                <w:lang w:val="en-US"/>
              </w:rPr>
            </w:pPr>
            <w:r>
              <w:rPr>
                <w:b w:val="0"/>
                <w:lang w:val="en-US"/>
              </w:rPr>
              <w:t>Professional</w:t>
            </w:r>
            <w:r w:rsidRPr="00001269">
              <w:rPr>
                <w:b w:val="0"/>
                <w:lang w:val="en-US"/>
              </w:rPr>
              <w:t xml:space="preserve"> </w:t>
            </w:r>
            <w:r>
              <w:rPr>
                <w:b w:val="0"/>
                <w:lang w:val="en-US"/>
              </w:rPr>
              <w:t>and</w:t>
            </w:r>
            <w:r w:rsidRPr="00001269">
              <w:rPr>
                <w:b w:val="0"/>
                <w:lang w:val="en-US"/>
              </w:rPr>
              <w:t xml:space="preserve"> </w:t>
            </w:r>
            <w:r>
              <w:rPr>
                <w:b w:val="0"/>
                <w:lang w:val="en-US"/>
              </w:rPr>
              <w:t>management</w:t>
            </w:r>
            <w:r w:rsidRPr="00001269">
              <w:rPr>
                <w:b w:val="0"/>
                <w:lang w:val="en-US"/>
              </w:rPr>
              <w:t xml:space="preserve"> </w:t>
            </w:r>
            <w:r>
              <w:rPr>
                <w:b w:val="0"/>
                <w:lang w:val="en-US"/>
              </w:rPr>
              <w:t>consulting services</w:t>
            </w:r>
            <w:r w:rsidR="007764A7" w:rsidRPr="00001269">
              <w:rPr>
                <w:b w:val="0"/>
                <w:lang w:val="en-US"/>
              </w:rPr>
              <w:t xml:space="preserve"> </w:t>
            </w:r>
          </w:p>
        </w:tc>
      </w:tr>
      <w:tr w:rsidR="005F50B4" w:rsidRPr="00233639" w:rsidTr="007C6468">
        <w:trPr>
          <w:trHeight w:val="69"/>
        </w:trPr>
        <w:tc>
          <w:tcPr>
            <w:tcW w:w="0" w:type="auto"/>
            <w:vMerge/>
            <w:tcBorders>
              <w:top w:val="nil"/>
              <w:left w:val="single" w:sz="4" w:space="0" w:color="000000"/>
              <w:bottom w:val="nil"/>
              <w:right w:val="single" w:sz="4" w:space="0" w:color="000000"/>
            </w:tcBorders>
          </w:tcPr>
          <w:p w:rsidR="005F50B4" w:rsidRPr="00001269"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TTS </w:t>
            </w:r>
          </w:p>
        </w:tc>
        <w:tc>
          <w:tcPr>
            <w:tcW w:w="6673" w:type="dxa"/>
            <w:tcBorders>
              <w:top w:val="single" w:sz="4" w:space="0" w:color="000000"/>
              <w:left w:val="single" w:sz="4" w:space="0" w:color="000000"/>
              <w:bottom w:val="single" w:sz="4" w:space="0" w:color="000000"/>
              <w:right w:val="single" w:sz="4" w:space="0" w:color="000000"/>
            </w:tcBorders>
          </w:tcPr>
          <w:p w:rsidR="005F50B4" w:rsidRPr="007C6468" w:rsidRDefault="007C6468" w:rsidP="00001269">
            <w:pPr>
              <w:spacing w:line="259" w:lineRule="auto"/>
              <w:jc w:val="left"/>
              <w:rPr>
                <w:b w:val="0"/>
                <w:lang w:val="en-US"/>
              </w:rPr>
            </w:pPr>
            <w:r>
              <w:rPr>
                <w:b w:val="0"/>
                <w:lang w:val="en-US"/>
              </w:rPr>
              <w:t>T</w:t>
            </w:r>
            <w:r w:rsidRPr="007C6468">
              <w:rPr>
                <w:b w:val="0"/>
                <w:lang w:val="en-US"/>
              </w:rPr>
              <w:t>echnical, trade-related and other business services</w:t>
            </w:r>
          </w:p>
        </w:tc>
      </w:tr>
      <w:tr w:rsidR="005F50B4" w:rsidRPr="00233639" w:rsidTr="007C6468">
        <w:trPr>
          <w:trHeight w:val="229"/>
        </w:trPr>
        <w:tc>
          <w:tcPr>
            <w:tcW w:w="0" w:type="auto"/>
            <w:vMerge/>
            <w:tcBorders>
              <w:top w:val="nil"/>
              <w:left w:val="single" w:sz="4" w:space="0" w:color="000000"/>
              <w:bottom w:val="single" w:sz="4" w:space="0" w:color="000000"/>
              <w:right w:val="single" w:sz="4" w:space="0" w:color="000000"/>
            </w:tcBorders>
          </w:tcPr>
          <w:p w:rsidR="005F50B4" w:rsidRPr="00001269"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PRS </w:t>
            </w:r>
          </w:p>
        </w:tc>
        <w:tc>
          <w:tcPr>
            <w:tcW w:w="6673" w:type="dxa"/>
            <w:tcBorders>
              <w:top w:val="single" w:sz="4" w:space="0" w:color="000000"/>
              <w:left w:val="single" w:sz="4" w:space="0" w:color="000000"/>
              <w:bottom w:val="single" w:sz="4" w:space="0" w:color="000000"/>
              <w:right w:val="single" w:sz="4" w:space="0" w:color="000000"/>
            </w:tcBorders>
          </w:tcPr>
          <w:p w:rsidR="005F50B4" w:rsidRPr="007C6468" w:rsidRDefault="007C6468" w:rsidP="00001269">
            <w:pPr>
              <w:spacing w:line="259" w:lineRule="auto"/>
              <w:jc w:val="left"/>
              <w:rPr>
                <w:b w:val="0"/>
                <w:lang w:val="en-US"/>
              </w:rPr>
            </w:pPr>
            <w:r>
              <w:rPr>
                <w:b w:val="0"/>
                <w:lang w:val="en-US"/>
              </w:rPr>
              <w:t>P</w:t>
            </w:r>
            <w:r w:rsidRPr="007C6468">
              <w:rPr>
                <w:b w:val="0"/>
                <w:lang w:val="en-US"/>
              </w:rPr>
              <w:t>ersonal, cultural, audiovisual and recreational services</w:t>
            </w:r>
          </w:p>
        </w:tc>
      </w:tr>
      <w:tr w:rsidR="005F50B4">
        <w:trPr>
          <w:trHeight w:val="240"/>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Default="00001269">
            <w:pPr>
              <w:spacing w:line="259" w:lineRule="auto"/>
            </w:pPr>
            <w:r>
              <w:rPr>
                <w:lang w:val="en-US"/>
              </w:rPr>
              <w:t>Revenues and interests</w:t>
            </w:r>
            <w:r w:rsidR="007764A7">
              <w:t xml:space="preserve"> </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IGD </w:t>
            </w:r>
          </w:p>
        </w:tc>
        <w:tc>
          <w:tcPr>
            <w:tcW w:w="6673" w:type="dxa"/>
            <w:tcBorders>
              <w:top w:val="single" w:sz="4" w:space="0" w:color="000000"/>
              <w:left w:val="single" w:sz="4" w:space="0" w:color="000000"/>
              <w:bottom w:val="single" w:sz="4" w:space="0" w:color="000000"/>
              <w:right w:val="single" w:sz="4" w:space="0" w:color="000000"/>
            </w:tcBorders>
          </w:tcPr>
          <w:p w:rsidR="005F50B4" w:rsidRPr="007C6468" w:rsidRDefault="007C6468">
            <w:pPr>
              <w:spacing w:line="259" w:lineRule="auto"/>
              <w:jc w:val="left"/>
              <w:rPr>
                <w:b w:val="0"/>
                <w:lang w:val="en-US"/>
              </w:rPr>
            </w:pPr>
            <w:r w:rsidRPr="007C6468">
              <w:rPr>
                <w:b w:val="0"/>
              </w:rPr>
              <w:t>Dividends intragroup</w:t>
            </w:r>
          </w:p>
        </w:tc>
      </w:tr>
      <w:tr w:rsidR="005F50B4" w:rsidRPr="00233639">
        <w:trPr>
          <w:trHeight w:val="240"/>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IID </w:t>
            </w:r>
          </w:p>
        </w:tc>
        <w:tc>
          <w:tcPr>
            <w:tcW w:w="6673" w:type="dxa"/>
            <w:tcBorders>
              <w:top w:val="single" w:sz="4" w:space="0" w:color="000000"/>
              <w:left w:val="single" w:sz="4" w:space="0" w:color="000000"/>
              <w:bottom w:val="single" w:sz="4" w:space="0" w:color="000000"/>
              <w:right w:val="single" w:sz="4" w:space="0" w:color="000000"/>
            </w:tcBorders>
          </w:tcPr>
          <w:p w:rsidR="005F50B4" w:rsidRPr="007C6468" w:rsidRDefault="007C6468" w:rsidP="00001269">
            <w:pPr>
              <w:spacing w:line="259" w:lineRule="auto"/>
              <w:jc w:val="left"/>
              <w:rPr>
                <w:b w:val="0"/>
                <w:lang w:val="en-US"/>
              </w:rPr>
            </w:pPr>
            <w:r w:rsidRPr="007C6468">
              <w:rPr>
                <w:b w:val="0"/>
              </w:rPr>
              <w:t>Interest on debt intragroup</w:t>
            </w:r>
          </w:p>
        </w:tc>
      </w:tr>
      <w:tr w:rsidR="005F50B4">
        <w:trPr>
          <w:trHeight w:val="240"/>
        </w:trPr>
        <w:tc>
          <w:tcPr>
            <w:tcW w:w="0" w:type="auto"/>
            <w:vMerge/>
            <w:tcBorders>
              <w:top w:val="nil"/>
              <w:left w:val="single" w:sz="4" w:space="0" w:color="000000"/>
              <w:bottom w:val="nil"/>
              <w:right w:val="single" w:sz="4" w:space="0" w:color="000000"/>
            </w:tcBorders>
          </w:tcPr>
          <w:p w:rsidR="005F50B4" w:rsidRPr="00001269"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PIP </w:t>
            </w:r>
          </w:p>
        </w:tc>
        <w:tc>
          <w:tcPr>
            <w:tcW w:w="6673" w:type="dxa"/>
            <w:tcBorders>
              <w:top w:val="single" w:sz="4" w:space="0" w:color="000000"/>
              <w:left w:val="single" w:sz="4" w:space="0" w:color="000000"/>
              <w:bottom w:val="single" w:sz="4" w:space="0" w:color="000000"/>
              <w:right w:val="single" w:sz="4" w:space="0" w:color="000000"/>
            </w:tcBorders>
          </w:tcPr>
          <w:p w:rsidR="005F50B4" w:rsidRPr="007C6468" w:rsidRDefault="007C6468" w:rsidP="00001269">
            <w:pPr>
              <w:spacing w:line="259" w:lineRule="auto"/>
              <w:jc w:val="left"/>
              <w:rPr>
                <w:b w:val="0"/>
              </w:rPr>
            </w:pPr>
            <w:r w:rsidRPr="007C6468">
              <w:rPr>
                <w:b w:val="0"/>
              </w:rPr>
              <w:t>Profits on islamic products</w:t>
            </w:r>
          </w:p>
        </w:tc>
      </w:tr>
      <w:tr w:rsidR="005F50B4" w:rsidRPr="00233639">
        <w:trPr>
          <w:trHeight w:val="240"/>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PRR </w:t>
            </w:r>
          </w:p>
        </w:tc>
        <w:tc>
          <w:tcPr>
            <w:tcW w:w="6673" w:type="dxa"/>
            <w:tcBorders>
              <w:top w:val="single" w:sz="4" w:space="0" w:color="000000"/>
              <w:left w:val="single" w:sz="4" w:space="0" w:color="000000"/>
              <w:bottom w:val="single" w:sz="4" w:space="0" w:color="000000"/>
              <w:right w:val="single" w:sz="4" w:space="0" w:color="000000"/>
            </w:tcBorders>
          </w:tcPr>
          <w:p w:rsidR="005F50B4" w:rsidRPr="003E1247" w:rsidRDefault="003E1247" w:rsidP="00EB5256">
            <w:pPr>
              <w:spacing w:line="259" w:lineRule="auto"/>
              <w:jc w:val="left"/>
              <w:rPr>
                <w:b w:val="0"/>
                <w:lang w:val="en-US"/>
              </w:rPr>
            </w:pPr>
            <w:r w:rsidRPr="003E1247">
              <w:rPr>
                <w:b w:val="0"/>
                <w:lang w:val="en-US"/>
              </w:rPr>
              <w:t>Profits or rents on real estate</w:t>
            </w:r>
          </w:p>
        </w:tc>
      </w:tr>
      <w:tr w:rsidR="005F50B4" w:rsidRPr="00233639">
        <w:trPr>
          <w:trHeight w:val="240"/>
        </w:trPr>
        <w:tc>
          <w:tcPr>
            <w:tcW w:w="0" w:type="auto"/>
            <w:vMerge/>
            <w:tcBorders>
              <w:top w:val="nil"/>
              <w:left w:val="single" w:sz="4" w:space="0" w:color="000000"/>
              <w:bottom w:val="nil"/>
              <w:right w:val="single" w:sz="4" w:space="0" w:color="000000"/>
            </w:tcBorders>
          </w:tcPr>
          <w:p w:rsidR="005F50B4" w:rsidRPr="00EB525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DOE </w:t>
            </w:r>
          </w:p>
        </w:tc>
        <w:tc>
          <w:tcPr>
            <w:tcW w:w="6673" w:type="dxa"/>
            <w:tcBorders>
              <w:top w:val="single" w:sz="4" w:space="0" w:color="000000"/>
              <w:left w:val="single" w:sz="4" w:space="0" w:color="000000"/>
              <w:bottom w:val="single" w:sz="4" w:space="0" w:color="000000"/>
              <w:right w:val="single" w:sz="4" w:space="0" w:color="000000"/>
            </w:tcBorders>
          </w:tcPr>
          <w:p w:rsidR="005F50B4" w:rsidRPr="003E1247" w:rsidRDefault="003E1247" w:rsidP="00EB5256">
            <w:pPr>
              <w:spacing w:line="259" w:lineRule="auto"/>
              <w:jc w:val="left"/>
              <w:rPr>
                <w:b w:val="0"/>
                <w:lang w:val="en-US"/>
              </w:rPr>
            </w:pPr>
            <w:r w:rsidRPr="003E1247">
              <w:rPr>
                <w:b w:val="0"/>
                <w:lang w:val="en-US"/>
              </w:rPr>
              <w:t>Dividends on equity not intragroup</w:t>
            </w:r>
          </w:p>
        </w:tc>
      </w:tr>
      <w:tr w:rsidR="005F50B4" w:rsidRPr="00233639">
        <w:trPr>
          <w:trHeight w:val="240"/>
        </w:trPr>
        <w:tc>
          <w:tcPr>
            <w:tcW w:w="0" w:type="auto"/>
            <w:vMerge/>
            <w:tcBorders>
              <w:top w:val="nil"/>
              <w:left w:val="single" w:sz="4" w:space="0" w:color="000000"/>
              <w:bottom w:val="nil"/>
              <w:right w:val="single" w:sz="4" w:space="0" w:color="000000"/>
            </w:tcBorders>
          </w:tcPr>
          <w:p w:rsidR="005F50B4" w:rsidRPr="00EB525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ISH </w:t>
            </w:r>
          </w:p>
        </w:tc>
        <w:tc>
          <w:tcPr>
            <w:tcW w:w="6673" w:type="dxa"/>
            <w:tcBorders>
              <w:top w:val="single" w:sz="4" w:space="0" w:color="000000"/>
              <w:left w:val="single" w:sz="4" w:space="0" w:color="000000"/>
              <w:bottom w:val="single" w:sz="4" w:space="0" w:color="000000"/>
              <w:right w:val="single" w:sz="4" w:space="0" w:color="000000"/>
            </w:tcBorders>
          </w:tcPr>
          <w:p w:rsidR="005F50B4" w:rsidRPr="003E1247" w:rsidRDefault="003E1247" w:rsidP="00EB5256">
            <w:pPr>
              <w:spacing w:line="259" w:lineRule="auto"/>
              <w:jc w:val="left"/>
              <w:rPr>
                <w:b w:val="0"/>
                <w:lang w:val="en-US"/>
              </w:rPr>
            </w:pPr>
            <w:r w:rsidRPr="003E1247">
              <w:rPr>
                <w:b w:val="0"/>
                <w:lang w:val="en-US"/>
              </w:rPr>
              <w:t>Income on investment funds shares</w:t>
            </w:r>
          </w:p>
        </w:tc>
      </w:tr>
      <w:tr w:rsidR="005F50B4" w:rsidRPr="00233639">
        <w:trPr>
          <w:trHeight w:val="240"/>
        </w:trPr>
        <w:tc>
          <w:tcPr>
            <w:tcW w:w="0" w:type="auto"/>
            <w:vMerge/>
            <w:tcBorders>
              <w:top w:val="nil"/>
              <w:left w:val="single" w:sz="4" w:space="0" w:color="000000"/>
              <w:bottom w:val="nil"/>
              <w:right w:val="single" w:sz="4" w:space="0" w:color="000000"/>
            </w:tcBorders>
          </w:tcPr>
          <w:p w:rsidR="005F50B4" w:rsidRPr="00EB525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ISL </w:t>
            </w:r>
          </w:p>
        </w:tc>
        <w:tc>
          <w:tcPr>
            <w:tcW w:w="6673" w:type="dxa"/>
            <w:tcBorders>
              <w:top w:val="single" w:sz="4" w:space="0" w:color="000000"/>
              <w:left w:val="single" w:sz="4" w:space="0" w:color="000000"/>
              <w:bottom w:val="single" w:sz="4" w:space="0" w:color="000000"/>
              <w:right w:val="single" w:sz="4" w:space="0" w:color="000000"/>
            </w:tcBorders>
          </w:tcPr>
          <w:p w:rsidR="005F50B4" w:rsidRPr="003E1247" w:rsidRDefault="003E1247" w:rsidP="00EB5256">
            <w:pPr>
              <w:spacing w:line="259" w:lineRule="auto"/>
              <w:jc w:val="left"/>
              <w:rPr>
                <w:b w:val="0"/>
                <w:lang w:val="en-US"/>
              </w:rPr>
            </w:pPr>
            <w:r w:rsidRPr="003E1247">
              <w:rPr>
                <w:b w:val="0"/>
                <w:lang w:val="en-US"/>
              </w:rPr>
              <w:t>Interest on securities more than a year</w:t>
            </w:r>
          </w:p>
        </w:tc>
      </w:tr>
      <w:tr w:rsidR="005F50B4" w:rsidRPr="00233639">
        <w:trPr>
          <w:trHeight w:val="240"/>
        </w:trPr>
        <w:tc>
          <w:tcPr>
            <w:tcW w:w="0" w:type="auto"/>
            <w:vMerge/>
            <w:tcBorders>
              <w:top w:val="nil"/>
              <w:left w:val="single" w:sz="4" w:space="0" w:color="000000"/>
              <w:bottom w:val="nil"/>
              <w:right w:val="single" w:sz="4" w:space="0" w:color="000000"/>
            </w:tcBorders>
          </w:tcPr>
          <w:p w:rsidR="005F50B4" w:rsidRPr="00EB525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ISS </w:t>
            </w:r>
          </w:p>
        </w:tc>
        <w:tc>
          <w:tcPr>
            <w:tcW w:w="6673" w:type="dxa"/>
            <w:tcBorders>
              <w:top w:val="single" w:sz="4" w:space="0" w:color="000000"/>
              <w:left w:val="single" w:sz="4" w:space="0" w:color="000000"/>
              <w:bottom w:val="single" w:sz="4" w:space="0" w:color="000000"/>
              <w:right w:val="single" w:sz="4" w:space="0" w:color="000000"/>
            </w:tcBorders>
          </w:tcPr>
          <w:p w:rsidR="005F50B4" w:rsidRPr="003E1247" w:rsidRDefault="003E1247" w:rsidP="00EB5256">
            <w:pPr>
              <w:spacing w:line="259" w:lineRule="auto"/>
              <w:jc w:val="left"/>
              <w:rPr>
                <w:b w:val="0"/>
                <w:lang w:val="en-US"/>
              </w:rPr>
            </w:pPr>
            <w:r w:rsidRPr="003E1247">
              <w:rPr>
                <w:b w:val="0"/>
                <w:lang w:val="en-US"/>
              </w:rPr>
              <w:t>Interest on securities less than a year</w:t>
            </w:r>
          </w:p>
        </w:tc>
      </w:tr>
      <w:tr w:rsidR="005F50B4" w:rsidRPr="00EB5256">
        <w:trPr>
          <w:trHeight w:val="240"/>
        </w:trPr>
        <w:tc>
          <w:tcPr>
            <w:tcW w:w="0" w:type="auto"/>
            <w:vMerge/>
            <w:tcBorders>
              <w:top w:val="nil"/>
              <w:left w:val="single" w:sz="4" w:space="0" w:color="000000"/>
              <w:bottom w:val="nil"/>
              <w:right w:val="single" w:sz="4" w:space="0" w:color="000000"/>
            </w:tcBorders>
          </w:tcPr>
          <w:p w:rsidR="005F50B4" w:rsidRPr="00EB525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IOL </w:t>
            </w:r>
          </w:p>
        </w:tc>
        <w:tc>
          <w:tcPr>
            <w:tcW w:w="6673" w:type="dxa"/>
            <w:tcBorders>
              <w:top w:val="single" w:sz="4" w:space="0" w:color="000000"/>
              <w:left w:val="single" w:sz="4" w:space="0" w:color="000000"/>
              <w:bottom w:val="single" w:sz="4" w:space="0" w:color="000000"/>
              <w:right w:val="single" w:sz="4" w:space="0" w:color="000000"/>
            </w:tcBorders>
          </w:tcPr>
          <w:p w:rsidR="005F50B4" w:rsidRPr="003E1247" w:rsidRDefault="003E1247" w:rsidP="00EB5256">
            <w:pPr>
              <w:spacing w:line="259" w:lineRule="auto"/>
              <w:jc w:val="left"/>
              <w:rPr>
                <w:b w:val="0"/>
                <w:lang w:val="en-US"/>
              </w:rPr>
            </w:pPr>
            <w:r w:rsidRPr="003E1247">
              <w:rPr>
                <w:b w:val="0"/>
              </w:rPr>
              <w:t>Income on loans</w:t>
            </w:r>
          </w:p>
        </w:tc>
      </w:tr>
      <w:tr w:rsidR="005F50B4">
        <w:trPr>
          <w:trHeight w:val="240"/>
        </w:trPr>
        <w:tc>
          <w:tcPr>
            <w:tcW w:w="0" w:type="auto"/>
            <w:vMerge/>
            <w:tcBorders>
              <w:top w:val="nil"/>
              <w:left w:val="single" w:sz="4" w:space="0" w:color="000000"/>
              <w:bottom w:val="single" w:sz="4" w:space="0" w:color="000000"/>
              <w:right w:val="single" w:sz="4" w:space="0" w:color="000000"/>
            </w:tcBorders>
          </w:tcPr>
          <w:p w:rsidR="005F50B4" w:rsidRPr="00EB525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IOD </w:t>
            </w:r>
          </w:p>
        </w:tc>
        <w:tc>
          <w:tcPr>
            <w:tcW w:w="6673" w:type="dxa"/>
            <w:tcBorders>
              <w:top w:val="single" w:sz="4" w:space="0" w:color="000000"/>
              <w:left w:val="single" w:sz="4" w:space="0" w:color="000000"/>
              <w:bottom w:val="single" w:sz="4" w:space="0" w:color="000000"/>
              <w:right w:val="single" w:sz="4" w:space="0" w:color="000000"/>
            </w:tcBorders>
          </w:tcPr>
          <w:p w:rsidR="005F50B4" w:rsidRPr="003E1247" w:rsidRDefault="003E1247">
            <w:pPr>
              <w:spacing w:line="259" w:lineRule="auto"/>
              <w:jc w:val="left"/>
              <w:rPr>
                <w:b w:val="0"/>
              </w:rPr>
            </w:pPr>
            <w:r w:rsidRPr="003E1247">
              <w:rPr>
                <w:b w:val="0"/>
                <w:lang w:val="en-US"/>
              </w:rPr>
              <w:t>Income  on deposits</w:t>
            </w:r>
            <w:r w:rsidRPr="003E1247">
              <w:rPr>
                <w:b w:val="0"/>
              </w:rPr>
              <w:t xml:space="preserve"> </w:t>
            </w:r>
          </w:p>
        </w:tc>
      </w:tr>
      <w:tr w:rsidR="005F50B4" w:rsidRPr="00233639" w:rsidTr="00F20954">
        <w:trPr>
          <w:trHeight w:val="143"/>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Default="009952E6" w:rsidP="009952E6">
            <w:pPr>
              <w:spacing w:line="259" w:lineRule="auto"/>
              <w:ind w:left="2"/>
            </w:pPr>
            <w:r>
              <w:rPr>
                <w:lang w:val="en-US"/>
              </w:rPr>
              <w:t>Government</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GOS </w:t>
            </w:r>
          </w:p>
        </w:tc>
        <w:tc>
          <w:tcPr>
            <w:tcW w:w="6673" w:type="dxa"/>
            <w:tcBorders>
              <w:top w:val="single" w:sz="4" w:space="0" w:color="000000"/>
              <w:left w:val="single" w:sz="4" w:space="0" w:color="000000"/>
              <w:bottom w:val="single" w:sz="4" w:space="0" w:color="000000"/>
              <w:right w:val="single" w:sz="4" w:space="0" w:color="000000"/>
            </w:tcBorders>
          </w:tcPr>
          <w:p w:rsidR="005F50B4" w:rsidRPr="00F20954" w:rsidRDefault="00F20954" w:rsidP="00EB5256">
            <w:pPr>
              <w:spacing w:line="259" w:lineRule="auto"/>
              <w:ind w:right="63"/>
              <w:jc w:val="left"/>
              <w:rPr>
                <w:b w:val="0"/>
                <w:lang w:val="en-US"/>
              </w:rPr>
            </w:pPr>
            <w:r w:rsidRPr="00F20954">
              <w:rPr>
                <w:b w:val="0"/>
                <w:lang w:val="en-US"/>
              </w:rPr>
              <w:t>Government goods and services embassies etc.</w:t>
            </w:r>
          </w:p>
        </w:tc>
      </w:tr>
      <w:tr w:rsidR="005F50B4" w:rsidRPr="00233639" w:rsidTr="00F20954">
        <w:trPr>
          <w:trHeight w:val="68"/>
        </w:trPr>
        <w:tc>
          <w:tcPr>
            <w:tcW w:w="0" w:type="auto"/>
            <w:vMerge/>
            <w:tcBorders>
              <w:top w:val="nil"/>
              <w:left w:val="single" w:sz="4" w:space="0" w:color="000000"/>
              <w:bottom w:val="single" w:sz="4" w:space="0" w:color="000000"/>
              <w:right w:val="single" w:sz="4" w:space="0" w:color="000000"/>
            </w:tcBorders>
          </w:tcPr>
          <w:p w:rsidR="005F50B4" w:rsidRPr="00EB525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GRI </w:t>
            </w:r>
          </w:p>
        </w:tc>
        <w:tc>
          <w:tcPr>
            <w:tcW w:w="6673" w:type="dxa"/>
            <w:tcBorders>
              <w:top w:val="single" w:sz="4" w:space="0" w:color="000000"/>
              <w:left w:val="single" w:sz="4" w:space="0" w:color="000000"/>
              <w:bottom w:val="single" w:sz="4" w:space="0" w:color="000000"/>
              <w:right w:val="single" w:sz="4" w:space="0" w:color="000000"/>
            </w:tcBorders>
          </w:tcPr>
          <w:p w:rsidR="005F50B4" w:rsidRPr="00F20954" w:rsidRDefault="00F20954" w:rsidP="00EB5256">
            <w:pPr>
              <w:spacing w:line="259" w:lineRule="auto"/>
              <w:jc w:val="left"/>
              <w:rPr>
                <w:b w:val="0"/>
                <w:lang w:val="en-US"/>
              </w:rPr>
            </w:pPr>
            <w:r w:rsidRPr="00F20954">
              <w:rPr>
                <w:b w:val="0"/>
                <w:lang w:val="en-US"/>
              </w:rPr>
              <w:t>Government related income taxes, tariffs, capital transfers, etc.</w:t>
            </w:r>
          </w:p>
        </w:tc>
      </w:tr>
      <w:tr w:rsidR="005F50B4" w:rsidRPr="00F20954">
        <w:trPr>
          <w:trHeight w:val="240"/>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Default="009B313B" w:rsidP="009B313B">
            <w:pPr>
              <w:spacing w:line="259" w:lineRule="auto"/>
            </w:pPr>
            <w:r>
              <w:rPr>
                <w:lang w:val="en-US"/>
              </w:rPr>
              <w:t>Personal transactions</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CHC </w:t>
            </w:r>
          </w:p>
        </w:tc>
        <w:tc>
          <w:tcPr>
            <w:tcW w:w="6673" w:type="dxa"/>
            <w:tcBorders>
              <w:top w:val="single" w:sz="4" w:space="0" w:color="000000"/>
              <w:left w:val="single" w:sz="4" w:space="0" w:color="000000"/>
              <w:bottom w:val="single" w:sz="4" w:space="0" w:color="000000"/>
              <w:right w:val="single" w:sz="4" w:space="0" w:color="000000"/>
            </w:tcBorders>
          </w:tcPr>
          <w:p w:rsidR="005F50B4" w:rsidRPr="00F20954" w:rsidRDefault="00F20954">
            <w:pPr>
              <w:spacing w:line="259" w:lineRule="auto"/>
              <w:jc w:val="left"/>
              <w:rPr>
                <w:b w:val="0"/>
                <w:lang w:val="en-US"/>
              </w:rPr>
            </w:pPr>
            <w:r w:rsidRPr="00F20954">
              <w:rPr>
                <w:b w:val="0"/>
                <w:lang w:val="en-US"/>
              </w:rPr>
              <w:t>Charitable contributions (charity and aid)</w:t>
            </w:r>
          </w:p>
        </w:tc>
      </w:tr>
      <w:tr w:rsidR="005F50B4">
        <w:trPr>
          <w:trHeight w:val="240"/>
        </w:trPr>
        <w:tc>
          <w:tcPr>
            <w:tcW w:w="0" w:type="auto"/>
            <w:vMerge/>
            <w:tcBorders>
              <w:top w:val="nil"/>
              <w:left w:val="single" w:sz="4" w:space="0" w:color="000000"/>
              <w:bottom w:val="nil"/>
              <w:right w:val="single" w:sz="4" w:space="0" w:color="000000"/>
            </w:tcBorders>
          </w:tcPr>
          <w:p w:rsidR="005F50B4" w:rsidRPr="00F20954"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FAM </w:t>
            </w:r>
          </w:p>
        </w:tc>
        <w:tc>
          <w:tcPr>
            <w:tcW w:w="6673" w:type="dxa"/>
            <w:tcBorders>
              <w:top w:val="single" w:sz="4" w:space="0" w:color="000000"/>
              <w:left w:val="single" w:sz="4" w:space="0" w:color="000000"/>
              <w:bottom w:val="single" w:sz="4" w:space="0" w:color="000000"/>
              <w:right w:val="single" w:sz="4" w:space="0" w:color="000000"/>
            </w:tcBorders>
          </w:tcPr>
          <w:p w:rsidR="005F50B4" w:rsidRPr="00F20954" w:rsidRDefault="00F20954">
            <w:pPr>
              <w:spacing w:line="259" w:lineRule="auto"/>
              <w:jc w:val="left"/>
              <w:rPr>
                <w:b w:val="0"/>
              </w:rPr>
            </w:pPr>
            <w:r w:rsidRPr="00F20954">
              <w:rPr>
                <w:b w:val="0"/>
              </w:rPr>
              <w:t>Family support (workers' remittances)</w:t>
            </w:r>
          </w:p>
        </w:tc>
      </w:tr>
      <w:tr w:rsidR="005F50B4">
        <w:trPr>
          <w:trHeight w:val="241"/>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SAL </w:t>
            </w:r>
          </w:p>
        </w:tc>
        <w:tc>
          <w:tcPr>
            <w:tcW w:w="6673" w:type="dxa"/>
            <w:tcBorders>
              <w:top w:val="single" w:sz="4" w:space="0" w:color="000000"/>
              <w:left w:val="single" w:sz="4" w:space="0" w:color="000000"/>
              <w:bottom w:val="single" w:sz="4" w:space="0" w:color="000000"/>
              <w:right w:val="single" w:sz="4" w:space="0" w:color="000000"/>
            </w:tcBorders>
          </w:tcPr>
          <w:p w:rsidR="005F50B4" w:rsidRPr="00F20954" w:rsidRDefault="00F20954">
            <w:pPr>
              <w:spacing w:line="259" w:lineRule="auto"/>
              <w:jc w:val="left"/>
              <w:rPr>
                <w:b w:val="0"/>
              </w:rPr>
            </w:pPr>
            <w:r w:rsidRPr="00F20954">
              <w:rPr>
                <w:b w:val="0"/>
              </w:rPr>
              <w:t>Salary (compensation of employees)</w:t>
            </w:r>
          </w:p>
        </w:tc>
      </w:tr>
      <w:tr w:rsidR="005F50B4" w:rsidRPr="00233639">
        <w:trPr>
          <w:trHeight w:val="240"/>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PPA </w:t>
            </w:r>
          </w:p>
        </w:tc>
        <w:tc>
          <w:tcPr>
            <w:tcW w:w="6673" w:type="dxa"/>
            <w:tcBorders>
              <w:top w:val="single" w:sz="4" w:space="0" w:color="000000"/>
              <w:left w:val="single" w:sz="4" w:space="0" w:color="000000"/>
              <w:bottom w:val="single" w:sz="4" w:space="0" w:color="000000"/>
              <w:right w:val="single" w:sz="4" w:space="0" w:color="000000"/>
            </w:tcBorders>
          </w:tcPr>
          <w:p w:rsidR="005F50B4" w:rsidRPr="00F20954" w:rsidRDefault="00F20954" w:rsidP="00EB5256">
            <w:pPr>
              <w:spacing w:line="259" w:lineRule="auto"/>
              <w:jc w:val="left"/>
              <w:rPr>
                <w:b w:val="0"/>
                <w:lang w:val="en-US"/>
              </w:rPr>
            </w:pPr>
            <w:r w:rsidRPr="00F20954">
              <w:rPr>
                <w:b w:val="0"/>
                <w:lang w:val="en-US"/>
              </w:rPr>
              <w:t>Purchase of real estate abroad from residents</w:t>
            </w:r>
          </w:p>
        </w:tc>
      </w:tr>
      <w:tr w:rsidR="005F50B4" w:rsidRPr="00233639">
        <w:trPr>
          <w:trHeight w:val="240"/>
        </w:trPr>
        <w:tc>
          <w:tcPr>
            <w:tcW w:w="0" w:type="auto"/>
            <w:vMerge/>
            <w:tcBorders>
              <w:top w:val="nil"/>
              <w:left w:val="single" w:sz="4" w:space="0" w:color="000000"/>
              <w:bottom w:val="single" w:sz="4" w:space="0" w:color="000000"/>
              <w:right w:val="single" w:sz="4" w:space="0" w:color="000000"/>
            </w:tcBorders>
          </w:tcPr>
          <w:p w:rsidR="005F50B4" w:rsidRPr="00EB525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PPL </w:t>
            </w:r>
          </w:p>
        </w:tc>
        <w:tc>
          <w:tcPr>
            <w:tcW w:w="6673" w:type="dxa"/>
            <w:tcBorders>
              <w:top w:val="single" w:sz="4" w:space="0" w:color="000000"/>
              <w:left w:val="single" w:sz="4" w:space="0" w:color="000000"/>
              <w:bottom w:val="single" w:sz="4" w:space="0" w:color="000000"/>
              <w:right w:val="single" w:sz="4" w:space="0" w:color="000000"/>
            </w:tcBorders>
          </w:tcPr>
          <w:p w:rsidR="005F50B4" w:rsidRPr="00F20954" w:rsidRDefault="00F20954" w:rsidP="00EB5256">
            <w:pPr>
              <w:spacing w:line="259" w:lineRule="auto"/>
              <w:jc w:val="left"/>
              <w:rPr>
                <w:b w:val="0"/>
                <w:lang w:val="en-US"/>
              </w:rPr>
            </w:pPr>
            <w:r w:rsidRPr="00F20954">
              <w:rPr>
                <w:b w:val="0"/>
                <w:lang w:val="en-US"/>
              </w:rPr>
              <w:t xml:space="preserve">Purchase of real estate in the </w:t>
            </w:r>
            <w:r w:rsidR="0015334C" w:rsidRPr="00F20954">
              <w:rPr>
                <w:b w:val="0"/>
                <w:lang w:val="en-US"/>
              </w:rPr>
              <w:t>UAE</w:t>
            </w:r>
            <w:r w:rsidRPr="00F20954">
              <w:rPr>
                <w:b w:val="0"/>
                <w:lang w:val="en-US"/>
              </w:rPr>
              <w:t xml:space="preserve"> from non-residents</w:t>
            </w:r>
          </w:p>
        </w:tc>
      </w:tr>
      <w:tr w:rsidR="005F50B4">
        <w:trPr>
          <w:trHeight w:val="240"/>
        </w:trPr>
        <w:tc>
          <w:tcPr>
            <w:tcW w:w="9573" w:type="dxa"/>
            <w:gridSpan w:val="3"/>
            <w:tcBorders>
              <w:top w:val="single" w:sz="4" w:space="0" w:color="000000"/>
              <w:left w:val="single" w:sz="4" w:space="0" w:color="000000"/>
              <w:bottom w:val="single" w:sz="4" w:space="0" w:color="000000"/>
              <w:right w:val="single" w:sz="4" w:space="0" w:color="000000"/>
            </w:tcBorders>
          </w:tcPr>
          <w:p w:rsidR="005F50B4" w:rsidRDefault="007764A7" w:rsidP="00EB5256">
            <w:pPr>
              <w:spacing w:line="259" w:lineRule="auto"/>
              <w:ind w:right="59"/>
            </w:pPr>
            <w:r>
              <w:t xml:space="preserve">2. </w:t>
            </w:r>
            <w:r w:rsidR="00EB5256">
              <w:rPr>
                <w:lang w:val="en-US"/>
              </w:rPr>
              <w:t>Assets</w:t>
            </w:r>
            <w:r>
              <w:t xml:space="preserve"> </w:t>
            </w:r>
          </w:p>
        </w:tc>
      </w:tr>
      <w:tr w:rsidR="005F50B4" w:rsidRPr="00233639">
        <w:trPr>
          <w:trHeight w:val="929"/>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Pr="005427D0" w:rsidRDefault="005427D0" w:rsidP="0015334C">
            <w:pPr>
              <w:spacing w:after="30" w:line="241" w:lineRule="auto"/>
              <w:rPr>
                <w:lang w:val="en-US"/>
              </w:rPr>
            </w:pPr>
            <w:r>
              <w:rPr>
                <w:lang w:val="en-US"/>
              </w:rPr>
              <w:t xml:space="preserve">Direct foreign investments – </w:t>
            </w:r>
            <w:r w:rsidR="00C434CA">
              <w:rPr>
                <w:lang w:val="en-US"/>
              </w:rPr>
              <w:t>purchase</w:t>
            </w:r>
            <w:r w:rsidR="00736145">
              <w:rPr>
                <w:lang w:val="en-US"/>
              </w:rPr>
              <w:t>s</w:t>
            </w:r>
            <w:r>
              <w:rPr>
                <w:lang w:val="en-US"/>
              </w:rPr>
              <w:t xml:space="preserve"> and </w:t>
            </w:r>
            <w:r w:rsidR="00736145">
              <w:rPr>
                <w:lang w:val="en-US"/>
              </w:rPr>
              <w:t>sales</w:t>
            </w:r>
            <w:r>
              <w:rPr>
                <w:lang w:val="en-US"/>
              </w:rPr>
              <w:t xml:space="preserve"> by residents of shares and securities (</w:t>
            </w:r>
            <w:r w:rsidR="0015334C">
              <w:rPr>
                <w:lang w:val="en-US"/>
              </w:rPr>
              <w:t>above</w:t>
            </w:r>
            <w:r>
              <w:rPr>
                <w:lang w:val="en-US"/>
              </w:rPr>
              <w:t xml:space="preserve"> 10</w:t>
            </w:r>
            <w:r w:rsidR="0015334C">
              <w:rPr>
                <w:lang w:val="en-US"/>
              </w:rPr>
              <w:t>% share</w:t>
            </w:r>
            <w:r>
              <w:rPr>
                <w:lang w:val="en-US"/>
              </w:rPr>
              <w:t>)</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CEA </w:t>
            </w:r>
          </w:p>
        </w:tc>
        <w:tc>
          <w:tcPr>
            <w:tcW w:w="6673" w:type="dxa"/>
            <w:tcBorders>
              <w:top w:val="single" w:sz="4" w:space="0" w:color="000000"/>
              <w:left w:val="single" w:sz="4" w:space="0" w:color="000000"/>
              <w:bottom w:val="single" w:sz="4" w:space="0" w:color="000000"/>
              <w:right w:val="single" w:sz="4" w:space="0" w:color="000000"/>
            </w:tcBorders>
          </w:tcPr>
          <w:p w:rsidR="005F50B4" w:rsidRPr="00736145" w:rsidRDefault="00736145" w:rsidP="00736145">
            <w:pPr>
              <w:spacing w:line="259" w:lineRule="auto"/>
              <w:ind w:right="29"/>
              <w:jc w:val="left"/>
              <w:rPr>
                <w:b w:val="0"/>
                <w:lang w:val="en-US"/>
              </w:rPr>
            </w:pPr>
            <w:r w:rsidRPr="00736145">
              <w:rPr>
                <w:b w:val="0"/>
                <w:lang w:val="en-US"/>
              </w:rPr>
              <w:t>Equity and investment fund shares for the establishment of new company from residents abroad, equity of merger or acquisition of companies abroad from residents and participation to capital increase of related companies abroad</w:t>
            </w:r>
          </w:p>
        </w:tc>
      </w:tr>
      <w:tr w:rsidR="005F50B4" w:rsidRPr="00233639">
        <w:trPr>
          <w:trHeight w:val="240"/>
        </w:trPr>
        <w:tc>
          <w:tcPr>
            <w:tcW w:w="0" w:type="auto"/>
            <w:vMerge/>
            <w:tcBorders>
              <w:top w:val="nil"/>
              <w:left w:val="single" w:sz="4" w:space="0" w:color="000000"/>
              <w:bottom w:val="nil"/>
              <w:right w:val="single" w:sz="4" w:space="0" w:color="000000"/>
            </w:tcBorders>
          </w:tcPr>
          <w:p w:rsidR="005F50B4" w:rsidRPr="00FE4F83"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DSF </w:t>
            </w:r>
          </w:p>
        </w:tc>
        <w:tc>
          <w:tcPr>
            <w:tcW w:w="6673" w:type="dxa"/>
            <w:tcBorders>
              <w:top w:val="single" w:sz="4" w:space="0" w:color="000000"/>
              <w:left w:val="single" w:sz="4" w:space="0" w:color="000000"/>
              <w:bottom w:val="single" w:sz="4" w:space="0" w:color="000000"/>
              <w:right w:val="single" w:sz="4" w:space="0" w:color="000000"/>
            </w:tcBorders>
          </w:tcPr>
          <w:p w:rsidR="005F50B4" w:rsidRPr="00736145" w:rsidRDefault="00736145" w:rsidP="00FE4F83">
            <w:pPr>
              <w:spacing w:line="259" w:lineRule="auto"/>
              <w:jc w:val="left"/>
              <w:rPr>
                <w:b w:val="0"/>
                <w:lang w:val="en-US"/>
              </w:rPr>
            </w:pPr>
            <w:r w:rsidRPr="00736145">
              <w:rPr>
                <w:b w:val="0"/>
                <w:lang w:val="en-US"/>
              </w:rPr>
              <w:t>Debt instruments intragroup foreign securities</w:t>
            </w:r>
          </w:p>
        </w:tc>
      </w:tr>
      <w:tr w:rsidR="005F50B4" w:rsidRPr="00736145">
        <w:trPr>
          <w:trHeight w:val="240"/>
        </w:trPr>
        <w:tc>
          <w:tcPr>
            <w:tcW w:w="0" w:type="auto"/>
            <w:vMerge/>
            <w:tcBorders>
              <w:top w:val="nil"/>
              <w:left w:val="single" w:sz="4" w:space="0" w:color="000000"/>
              <w:bottom w:val="nil"/>
              <w:right w:val="single" w:sz="4" w:space="0" w:color="000000"/>
            </w:tcBorders>
          </w:tcPr>
          <w:p w:rsidR="005F50B4" w:rsidRPr="00FE4F83"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REL </w:t>
            </w:r>
          </w:p>
        </w:tc>
        <w:tc>
          <w:tcPr>
            <w:tcW w:w="6673" w:type="dxa"/>
            <w:tcBorders>
              <w:top w:val="single" w:sz="4" w:space="0" w:color="000000"/>
              <w:left w:val="single" w:sz="4" w:space="0" w:color="000000"/>
              <w:bottom w:val="single" w:sz="4" w:space="0" w:color="000000"/>
              <w:right w:val="single" w:sz="4" w:space="0" w:color="000000"/>
            </w:tcBorders>
          </w:tcPr>
          <w:p w:rsidR="005F50B4" w:rsidRPr="00736145" w:rsidRDefault="00736145" w:rsidP="00883C05">
            <w:pPr>
              <w:spacing w:line="259" w:lineRule="auto"/>
              <w:jc w:val="left"/>
              <w:rPr>
                <w:b w:val="0"/>
                <w:lang w:val="en-US"/>
              </w:rPr>
            </w:pPr>
            <w:r w:rsidRPr="00736145">
              <w:rPr>
                <w:b w:val="0"/>
                <w:lang w:val="en-US"/>
              </w:rPr>
              <w:t>Reverse equity share in the UAE</w:t>
            </w:r>
          </w:p>
        </w:tc>
      </w:tr>
      <w:tr w:rsidR="005F50B4" w:rsidRPr="00233639" w:rsidTr="00736145">
        <w:trPr>
          <w:trHeight w:val="138"/>
        </w:trPr>
        <w:tc>
          <w:tcPr>
            <w:tcW w:w="0" w:type="auto"/>
            <w:vMerge/>
            <w:tcBorders>
              <w:top w:val="nil"/>
              <w:left w:val="single" w:sz="4" w:space="0" w:color="000000"/>
              <w:bottom w:val="single" w:sz="4" w:space="0" w:color="000000"/>
              <w:right w:val="single" w:sz="4" w:space="0" w:color="000000"/>
            </w:tcBorders>
          </w:tcPr>
          <w:p w:rsidR="005F50B4" w:rsidRPr="00AF617E"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RDL </w:t>
            </w:r>
          </w:p>
        </w:tc>
        <w:tc>
          <w:tcPr>
            <w:tcW w:w="6673" w:type="dxa"/>
            <w:tcBorders>
              <w:top w:val="single" w:sz="4" w:space="0" w:color="000000"/>
              <w:left w:val="single" w:sz="4" w:space="0" w:color="000000"/>
              <w:bottom w:val="single" w:sz="4" w:space="0" w:color="000000"/>
              <w:right w:val="single" w:sz="4" w:space="0" w:color="000000"/>
            </w:tcBorders>
          </w:tcPr>
          <w:p w:rsidR="005F50B4" w:rsidRPr="00736145" w:rsidRDefault="00736145" w:rsidP="00E13F82">
            <w:pPr>
              <w:spacing w:line="259" w:lineRule="auto"/>
              <w:jc w:val="left"/>
              <w:rPr>
                <w:b w:val="0"/>
                <w:lang w:val="en-US"/>
              </w:rPr>
            </w:pPr>
            <w:r w:rsidRPr="00736145">
              <w:rPr>
                <w:b w:val="0"/>
                <w:lang w:val="en-US"/>
              </w:rPr>
              <w:t>Reverse debt instruments in the UAE</w:t>
            </w:r>
          </w:p>
        </w:tc>
      </w:tr>
      <w:tr w:rsidR="00745058" w:rsidRPr="00233639" w:rsidTr="004809E8">
        <w:trPr>
          <w:trHeight w:val="240"/>
        </w:trPr>
        <w:tc>
          <w:tcPr>
            <w:tcW w:w="1752" w:type="dxa"/>
            <w:vMerge w:val="restart"/>
            <w:tcBorders>
              <w:top w:val="single" w:sz="4" w:space="0" w:color="000000"/>
              <w:left w:val="single" w:sz="4" w:space="0" w:color="000000"/>
              <w:right w:val="single" w:sz="4" w:space="0" w:color="000000"/>
            </w:tcBorders>
          </w:tcPr>
          <w:p w:rsidR="00745058" w:rsidRPr="00745058" w:rsidRDefault="00745058" w:rsidP="0030415A">
            <w:pPr>
              <w:spacing w:after="14" w:line="259" w:lineRule="auto"/>
              <w:ind w:right="108"/>
              <w:rPr>
                <w:lang w:val="en-US"/>
              </w:rPr>
            </w:pPr>
            <w:r>
              <w:rPr>
                <w:lang w:val="en-US"/>
              </w:rPr>
              <w:t>Portfolio investments</w:t>
            </w:r>
            <w:r w:rsidRPr="00745058">
              <w:rPr>
                <w:lang w:val="en-US"/>
              </w:rPr>
              <w:t xml:space="preserve"> </w:t>
            </w:r>
            <w:r w:rsidR="008A2EF9">
              <w:rPr>
                <w:lang w:val="en-US"/>
              </w:rPr>
              <w:t>–</w:t>
            </w:r>
            <w:r w:rsidRPr="00745058">
              <w:rPr>
                <w:lang w:val="en-US"/>
              </w:rPr>
              <w:t xml:space="preserve"> </w:t>
            </w:r>
            <w:r w:rsidR="00C434CA">
              <w:rPr>
                <w:lang w:val="en-US"/>
              </w:rPr>
              <w:t>purchase</w:t>
            </w:r>
            <w:r w:rsidR="0015334C">
              <w:rPr>
                <w:lang w:val="en-US"/>
              </w:rPr>
              <w:t>s</w:t>
            </w:r>
            <w:r w:rsidR="008A2EF9">
              <w:rPr>
                <w:lang w:val="en-US"/>
              </w:rPr>
              <w:t xml:space="preserve"> and</w:t>
            </w:r>
            <w:r w:rsidRPr="00745058">
              <w:rPr>
                <w:lang w:val="en-US"/>
              </w:rPr>
              <w:t xml:space="preserve"> </w:t>
            </w:r>
            <w:r w:rsidR="00736145">
              <w:rPr>
                <w:lang w:val="en-US"/>
              </w:rPr>
              <w:t xml:space="preserve">sales </w:t>
            </w:r>
            <w:r>
              <w:rPr>
                <w:lang w:val="en-US"/>
              </w:rPr>
              <w:t xml:space="preserve">by residents of </w:t>
            </w:r>
            <w:r w:rsidR="0030415A">
              <w:rPr>
                <w:lang w:val="en-US"/>
              </w:rPr>
              <w:t>shares and securities (less than 10% share</w:t>
            </w:r>
            <w:r>
              <w:rPr>
                <w:lang w:val="en-US"/>
              </w:rPr>
              <w:t>)</w:t>
            </w:r>
          </w:p>
        </w:tc>
        <w:tc>
          <w:tcPr>
            <w:tcW w:w="1148" w:type="dxa"/>
            <w:tcBorders>
              <w:top w:val="single" w:sz="4" w:space="0" w:color="000000"/>
              <w:left w:val="single" w:sz="4" w:space="0" w:color="000000"/>
              <w:bottom w:val="single" w:sz="4" w:space="0" w:color="000000"/>
              <w:right w:val="single" w:sz="4" w:space="0" w:color="000000"/>
            </w:tcBorders>
          </w:tcPr>
          <w:p w:rsidR="00745058" w:rsidRDefault="00745058">
            <w:pPr>
              <w:spacing w:line="259" w:lineRule="auto"/>
              <w:ind w:left="2"/>
              <w:jc w:val="left"/>
            </w:pPr>
            <w:r>
              <w:rPr>
                <w:b w:val="0"/>
              </w:rPr>
              <w:t xml:space="preserve">FSA </w:t>
            </w:r>
          </w:p>
        </w:tc>
        <w:tc>
          <w:tcPr>
            <w:tcW w:w="6673" w:type="dxa"/>
            <w:tcBorders>
              <w:top w:val="single" w:sz="4" w:space="0" w:color="000000"/>
              <w:left w:val="single" w:sz="4" w:space="0" w:color="000000"/>
              <w:bottom w:val="single" w:sz="4" w:space="0" w:color="000000"/>
              <w:right w:val="single" w:sz="4" w:space="0" w:color="000000"/>
            </w:tcBorders>
          </w:tcPr>
          <w:p w:rsidR="00745058" w:rsidRPr="00736145" w:rsidRDefault="00736145" w:rsidP="00BD1883">
            <w:pPr>
              <w:spacing w:line="259" w:lineRule="auto"/>
              <w:jc w:val="left"/>
              <w:rPr>
                <w:b w:val="0"/>
                <w:lang w:val="en-US"/>
              </w:rPr>
            </w:pPr>
            <w:r w:rsidRPr="00736145">
              <w:rPr>
                <w:b w:val="0"/>
                <w:lang w:val="en-US"/>
              </w:rPr>
              <w:t>Equity other than investment fund shares in not related companies abroad</w:t>
            </w:r>
          </w:p>
        </w:tc>
      </w:tr>
      <w:tr w:rsidR="00745058" w:rsidRPr="00745058" w:rsidTr="004809E8">
        <w:trPr>
          <w:trHeight w:val="240"/>
        </w:trPr>
        <w:tc>
          <w:tcPr>
            <w:tcW w:w="0" w:type="auto"/>
            <w:vMerge/>
            <w:tcBorders>
              <w:left w:val="single" w:sz="4" w:space="0" w:color="000000"/>
              <w:right w:val="single" w:sz="4" w:space="0" w:color="000000"/>
            </w:tcBorders>
          </w:tcPr>
          <w:p w:rsidR="00745058" w:rsidRPr="00745058" w:rsidRDefault="00745058" w:rsidP="004809E8">
            <w:pPr>
              <w:ind w:right="39"/>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745058" w:rsidRDefault="00745058">
            <w:pPr>
              <w:spacing w:line="259" w:lineRule="auto"/>
              <w:ind w:left="2"/>
              <w:jc w:val="left"/>
            </w:pPr>
            <w:r>
              <w:rPr>
                <w:b w:val="0"/>
              </w:rPr>
              <w:t xml:space="preserve">FIA </w:t>
            </w:r>
          </w:p>
        </w:tc>
        <w:tc>
          <w:tcPr>
            <w:tcW w:w="6673" w:type="dxa"/>
            <w:tcBorders>
              <w:top w:val="single" w:sz="4" w:space="0" w:color="000000"/>
              <w:left w:val="single" w:sz="4" w:space="0" w:color="000000"/>
              <w:bottom w:val="single" w:sz="4" w:space="0" w:color="000000"/>
              <w:right w:val="single" w:sz="4" w:space="0" w:color="000000"/>
            </w:tcBorders>
          </w:tcPr>
          <w:p w:rsidR="00745058" w:rsidRPr="00736145" w:rsidRDefault="00736145" w:rsidP="00745058">
            <w:pPr>
              <w:spacing w:line="259" w:lineRule="auto"/>
              <w:jc w:val="left"/>
              <w:rPr>
                <w:b w:val="0"/>
                <w:lang w:val="en-US"/>
              </w:rPr>
            </w:pPr>
            <w:r w:rsidRPr="00736145">
              <w:rPr>
                <w:b w:val="0"/>
              </w:rPr>
              <w:t>Investment fund shares foreign</w:t>
            </w:r>
          </w:p>
        </w:tc>
      </w:tr>
      <w:tr w:rsidR="00E8199D" w:rsidRPr="00233639" w:rsidTr="00E8199D">
        <w:trPr>
          <w:trHeight w:val="364"/>
        </w:trPr>
        <w:tc>
          <w:tcPr>
            <w:tcW w:w="0" w:type="auto"/>
            <w:vMerge/>
            <w:tcBorders>
              <w:left w:val="single" w:sz="4" w:space="0" w:color="000000"/>
              <w:right w:val="single" w:sz="4" w:space="0" w:color="000000"/>
            </w:tcBorders>
          </w:tcPr>
          <w:p w:rsidR="00E8199D" w:rsidRPr="00745058" w:rsidRDefault="00E8199D" w:rsidP="004809E8">
            <w:pPr>
              <w:ind w:right="39"/>
              <w:rPr>
                <w:lang w:val="en-US"/>
              </w:rPr>
            </w:pPr>
          </w:p>
        </w:tc>
        <w:tc>
          <w:tcPr>
            <w:tcW w:w="1148" w:type="dxa"/>
            <w:tcBorders>
              <w:top w:val="single" w:sz="4" w:space="0" w:color="000000"/>
              <w:left w:val="single" w:sz="4" w:space="0" w:color="000000"/>
              <w:right w:val="single" w:sz="4" w:space="0" w:color="000000"/>
            </w:tcBorders>
          </w:tcPr>
          <w:p w:rsidR="00E8199D" w:rsidRDefault="00E8199D">
            <w:pPr>
              <w:spacing w:line="259" w:lineRule="auto"/>
              <w:ind w:left="2"/>
              <w:jc w:val="left"/>
            </w:pPr>
            <w:r>
              <w:rPr>
                <w:b w:val="0"/>
              </w:rPr>
              <w:t xml:space="preserve">DSA </w:t>
            </w:r>
          </w:p>
        </w:tc>
        <w:tc>
          <w:tcPr>
            <w:tcW w:w="6673" w:type="dxa"/>
            <w:tcBorders>
              <w:top w:val="single" w:sz="4" w:space="0" w:color="000000"/>
              <w:left w:val="single" w:sz="4" w:space="0" w:color="000000"/>
              <w:right w:val="single" w:sz="4" w:space="0" w:color="000000"/>
            </w:tcBorders>
          </w:tcPr>
          <w:p w:rsidR="00E8199D" w:rsidRPr="00736145" w:rsidRDefault="00736145" w:rsidP="00E8199D">
            <w:pPr>
              <w:jc w:val="left"/>
              <w:rPr>
                <w:b w:val="0"/>
                <w:lang w:val="en-US"/>
              </w:rPr>
            </w:pPr>
            <w:r w:rsidRPr="00736145">
              <w:rPr>
                <w:b w:val="0"/>
                <w:lang w:val="en-US"/>
              </w:rPr>
              <w:t>Purchases and sales of foreign debt securities in not related companies - less than a year</w:t>
            </w:r>
          </w:p>
        </w:tc>
      </w:tr>
      <w:tr w:rsidR="00745058" w:rsidRPr="00233639" w:rsidTr="004809E8">
        <w:tblPrEx>
          <w:tblCellMar>
            <w:right w:w="0" w:type="dxa"/>
          </w:tblCellMar>
        </w:tblPrEx>
        <w:trPr>
          <w:trHeight w:val="471"/>
        </w:trPr>
        <w:tc>
          <w:tcPr>
            <w:tcW w:w="0" w:type="auto"/>
            <w:vMerge/>
            <w:tcBorders>
              <w:left w:val="single" w:sz="4" w:space="0" w:color="000000"/>
              <w:right w:val="single" w:sz="4" w:space="0" w:color="000000"/>
            </w:tcBorders>
          </w:tcPr>
          <w:p w:rsidR="00745058" w:rsidRPr="00E8199D" w:rsidRDefault="00745058">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745058" w:rsidRDefault="00745058">
            <w:pPr>
              <w:spacing w:line="259" w:lineRule="auto"/>
              <w:ind w:left="2"/>
              <w:jc w:val="left"/>
            </w:pPr>
            <w:r>
              <w:rPr>
                <w:b w:val="0"/>
              </w:rPr>
              <w:t xml:space="preserve">DLA </w:t>
            </w:r>
          </w:p>
        </w:tc>
        <w:tc>
          <w:tcPr>
            <w:tcW w:w="6673" w:type="dxa"/>
            <w:tcBorders>
              <w:top w:val="single" w:sz="4" w:space="0" w:color="000000"/>
              <w:left w:val="single" w:sz="4" w:space="0" w:color="000000"/>
              <w:bottom w:val="single" w:sz="4" w:space="0" w:color="000000"/>
              <w:right w:val="single" w:sz="4" w:space="0" w:color="000000"/>
            </w:tcBorders>
          </w:tcPr>
          <w:p w:rsidR="00745058" w:rsidRPr="00736145" w:rsidRDefault="00736145" w:rsidP="00E8199D">
            <w:pPr>
              <w:spacing w:line="259" w:lineRule="auto"/>
              <w:jc w:val="left"/>
              <w:rPr>
                <w:b w:val="0"/>
                <w:lang w:val="en-US"/>
              </w:rPr>
            </w:pPr>
            <w:r w:rsidRPr="00736145">
              <w:rPr>
                <w:b w:val="0"/>
                <w:lang w:val="en-US"/>
              </w:rPr>
              <w:t>Purchases and sales of foreign debt securities in not related companies - more than a year</w:t>
            </w:r>
          </w:p>
        </w:tc>
      </w:tr>
      <w:tr w:rsidR="00745058" w:rsidTr="00736145">
        <w:tblPrEx>
          <w:tblCellMar>
            <w:right w:w="0" w:type="dxa"/>
          </w:tblCellMar>
        </w:tblPrEx>
        <w:trPr>
          <w:trHeight w:val="217"/>
        </w:trPr>
        <w:tc>
          <w:tcPr>
            <w:tcW w:w="0" w:type="auto"/>
            <w:vMerge/>
            <w:tcBorders>
              <w:left w:val="single" w:sz="4" w:space="0" w:color="000000"/>
              <w:bottom w:val="single" w:sz="4" w:space="0" w:color="000000"/>
              <w:right w:val="single" w:sz="4" w:space="0" w:color="000000"/>
            </w:tcBorders>
          </w:tcPr>
          <w:p w:rsidR="00745058" w:rsidRPr="00E8199D" w:rsidRDefault="00745058">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745058" w:rsidRDefault="00745058">
            <w:pPr>
              <w:spacing w:line="259" w:lineRule="auto"/>
              <w:ind w:left="2"/>
              <w:jc w:val="left"/>
            </w:pPr>
            <w:r>
              <w:rPr>
                <w:b w:val="0"/>
              </w:rPr>
              <w:t xml:space="preserve">FDA </w:t>
            </w:r>
          </w:p>
        </w:tc>
        <w:tc>
          <w:tcPr>
            <w:tcW w:w="6673" w:type="dxa"/>
            <w:tcBorders>
              <w:top w:val="single" w:sz="4" w:space="0" w:color="000000"/>
              <w:left w:val="single" w:sz="4" w:space="0" w:color="000000"/>
              <w:bottom w:val="single" w:sz="4" w:space="0" w:color="000000"/>
              <w:right w:val="single" w:sz="4" w:space="0" w:color="000000"/>
            </w:tcBorders>
          </w:tcPr>
          <w:p w:rsidR="00745058" w:rsidRPr="00736145" w:rsidRDefault="00736145" w:rsidP="00736145">
            <w:pPr>
              <w:jc w:val="left"/>
              <w:rPr>
                <w:b w:val="0"/>
                <w:lang w:val="en-US"/>
              </w:rPr>
            </w:pPr>
            <w:r w:rsidRPr="00736145">
              <w:rPr>
                <w:b w:val="0"/>
              </w:rPr>
              <w:t>Financial derivatives foreign</w:t>
            </w:r>
          </w:p>
        </w:tc>
      </w:tr>
      <w:tr w:rsidR="005F50B4" w:rsidRPr="00233639" w:rsidTr="00832270">
        <w:tblPrEx>
          <w:tblCellMar>
            <w:right w:w="0" w:type="dxa"/>
          </w:tblCellMar>
        </w:tblPrEx>
        <w:trPr>
          <w:trHeight w:val="68"/>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Pr="00FB6974" w:rsidRDefault="00FB6974" w:rsidP="00FB6974">
            <w:pPr>
              <w:spacing w:after="1" w:line="240" w:lineRule="auto"/>
              <w:rPr>
                <w:lang w:val="en-US"/>
              </w:rPr>
            </w:pPr>
            <w:r>
              <w:rPr>
                <w:lang w:val="en-US"/>
              </w:rPr>
              <w:t>Repayment of loans and transfers by residents of borrowings and deposits abroad</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DLF </w:t>
            </w:r>
          </w:p>
        </w:tc>
        <w:tc>
          <w:tcPr>
            <w:tcW w:w="6673" w:type="dxa"/>
            <w:tcBorders>
              <w:top w:val="single" w:sz="4" w:space="0" w:color="000000"/>
              <w:left w:val="single" w:sz="4" w:space="0" w:color="000000"/>
              <w:bottom w:val="single" w:sz="4" w:space="0" w:color="000000"/>
              <w:right w:val="single" w:sz="4" w:space="0" w:color="000000"/>
            </w:tcBorders>
          </w:tcPr>
          <w:p w:rsidR="005F50B4" w:rsidRPr="00F62EB3" w:rsidRDefault="00F62EB3" w:rsidP="00652E2E">
            <w:pPr>
              <w:spacing w:line="259" w:lineRule="auto"/>
              <w:jc w:val="left"/>
              <w:rPr>
                <w:b w:val="0"/>
                <w:lang w:val="en-US"/>
              </w:rPr>
            </w:pPr>
            <w:r w:rsidRPr="00F62EB3">
              <w:rPr>
                <w:b w:val="0"/>
                <w:lang w:val="en-US"/>
              </w:rPr>
              <w:t>Debt instruments intragroup loans, deposits foreign (above 10% share)</w:t>
            </w:r>
          </w:p>
        </w:tc>
      </w:tr>
      <w:tr w:rsidR="005F50B4" w:rsidRPr="00233639">
        <w:tblPrEx>
          <w:tblCellMar>
            <w:right w:w="0" w:type="dxa"/>
          </w:tblCellMar>
        </w:tblPrEx>
        <w:trPr>
          <w:trHeight w:val="470"/>
        </w:trPr>
        <w:tc>
          <w:tcPr>
            <w:tcW w:w="0" w:type="auto"/>
            <w:vMerge/>
            <w:tcBorders>
              <w:top w:val="nil"/>
              <w:left w:val="single" w:sz="4" w:space="0" w:color="000000"/>
              <w:bottom w:val="nil"/>
              <w:right w:val="single" w:sz="4" w:space="0" w:color="000000"/>
            </w:tcBorders>
          </w:tcPr>
          <w:p w:rsidR="005F50B4" w:rsidRPr="00652E2E"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AFA </w:t>
            </w:r>
          </w:p>
        </w:tc>
        <w:tc>
          <w:tcPr>
            <w:tcW w:w="6673" w:type="dxa"/>
            <w:tcBorders>
              <w:top w:val="single" w:sz="4" w:space="0" w:color="000000"/>
              <w:left w:val="single" w:sz="4" w:space="0" w:color="000000"/>
              <w:bottom w:val="single" w:sz="4" w:space="0" w:color="000000"/>
              <w:right w:val="single" w:sz="4" w:space="0" w:color="000000"/>
            </w:tcBorders>
          </w:tcPr>
          <w:p w:rsidR="005F50B4" w:rsidRPr="00F62EB3" w:rsidRDefault="00F62EB3" w:rsidP="0052189E">
            <w:pPr>
              <w:spacing w:line="259" w:lineRule="auto"/>
              <w:ind w:right="15"/>
              <w:jc w:val="left"/>
              <w:rPr>
                <w:b w:val="0"/>
                <w:lang w:val="en-US"/>
              </w:rPr>
            </w:pPr>
            <w:r w:rsidRPr="00F62EB3">
              <w:rPr>
                <w:b w:val="0"/>
                <w:lang w:val="en-US"/>
              </w:rPr>
              <w:t>Revenues and payments from personal account of a resident or from a deposit account abroad</w:t>
            </w:r>
          </w:p>
        </w:tc>
      </w:tr>
      <w:tr w:rsidR="0015334C" w:rsidRPr="00233639">
        <w:tblPrEx>
          <w:tblCellMar>
            <w:right w:w="0" w:type="dxa"/>
          </w:tblCellMar>
        </w:tblPrEx>
        <w:trPr>
          <w:trHeight w:val="470"/>
        </w:trPr>
        <w:tc>
          <w:tcPr>
            <w:tcW w:w="0" w:type="auto"/>
            <w:vMerge/>
            <w:tcBorders>
              <w:top w:val="nil"/>
              <w:left w:val="single" w:sz="4" w:space="0" w:color="000000"/>
              <w:bottom w:val="nil"/>
              <w:right w:val="single" w:sz="4" w:space="0" w:color="000000"/>
            </w:tcBorders>
          </w:tcPr>
          <w:p w:rsidR="0015334C" w:rsidRPr="00C628F6" w:rsidRDefault="0015334C">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15334C" w:rsidRDefault="0015334C">
            <w:pPr>
              <w:spacing w:line="259" w:lineRule="auto"/>
              <w:ind w:left="2"/>
              <w:jc w:val="left"/>
            </w:pPr>
            <w:r>
              <w:rPr>
                <w:b w:val="0"/>
              </w:rPr>
              <w:t xml:space="preserve">SLA </w:t>
            </w:r>
          </w:p>
        </w:tc>
        <w:tc>
          <w:tcPr>
            <w:tcW w:w="6673" w:type="dxa"/>
            <w:tcBorders>
              <w:top w:val="single" w:sz="4" w:space="0" w:color="000000"/>
              <w:left w:val="single" w:sz="4" w:space="0" w:color="000000"/>
              <w:bottom w:val="single" w:sz="4" w:space="0" w:color="000000"/>
              <w:right w:val="single" w:sz="4" w:space="0" w:color="000000"/>
            </w:tcBorders>
          </w:tcPr>
          <w:p w:rsidR="0015334C" w:rsidRPr="00F62EB3" w:rsidRDefault="00F62EB3" w:rsidP="007827BE">
            <w:pPr>
              <w:spacing w:line="259" w:lineRule="auto"/>
              <w:jc w:val="left"/>
              <w:rPr>
                <w:b w:val="0"/>
                <w:lang w:val="en-US"/>
              </w:rPr>
            </w:pPr>
            <w:r w:rsidRPr="00F62EB3">
              <w:rPr>
                <w:b w:val="0"/>
                <w:lang w:val="en-US"/>
              </w:rPr>
              <w:t>Loans - drawings or repayments on loans extended to nonresidents - short-term</w:t>
            </w:r>
          </w:p>
        </w:tc>
      </w:tr>
      <w:tr w:rsidR="00C628F6" w:rsidRPr="00233639">
        <w:tblPrEx>
          <w:tblCellMar>
            <w:right w:w="0" w:type="dxa"/>
          </w:tblCellMar>
        </w:tblPrEx>
        <w:trPr>
          <w:trHeight w:val="470"/>
        </w:trPr>
        <w:tc>
          <w:tcPr>
            <w:tcW w:w="0" w:type="auto"/>
            <w:vMerge/>
            <w:tcBorders>
              <w:top w:val="nil"/>
              <w:left w:val="single" w:sz="4" w:space="0" w:color="000000"/>
              <w:bottom w:val="nil"/>
              <w:right w:val="single" w:sz="4" w:space="0" w:color="000000"/>
            </w:tcBorders>
          </w:tcPr>
          <w:p w:rsidR="00C628F6" w:rsidRPr="00C628F6" w:rsidRDefault="00C628F6">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C628F6" w:rsidRDefault="00C628F6">
            <w:pPr>
              <w:spacing w:line="259" w:lineRule="auto"/>
              <w:ind w:left="2"/>
              <w:jc w:val="left"/>
            </w:pPr>
            <w:r>
              <w:rPr>
                <w:b w:val="0"/>
              </w:rPr>
              <w:t xml:space="preserve">LLA </w:t>
            </w:r>
          </w:p>
        </w:tc>
        <w:tc>
          <w:tcPr>
            <w:tcW w:w="6673" w:type="dxa"/>
            <w:tcBorders>
              <w:top w:val="single" w:sz="4" w:space="0" w:color="000000"/>
              <w:left w:val="single" w:sz="4" w:space="0" w:color="000000"/>
              <w:bottom w:val="single" w:sz="4" w:space="0" w:color="000000"/>
              <w:right w:val="single" w:sz="4" w:space="0" w:color="000000"/>
            </w:tcBorders>
          </w:tcPr>
          <w:p w:rsidR="00C628F6" w:rsidRPr="00F62EB3" w:rsidRDefault="00F62EB3" w:rsidP="00C628F6">
            <w:pPr>
              <w:spacing w:line="259" w:lineRule="auto"/>
              <w:jc w:val="left"/>
              <w:rPr>
                <w:b w:val="0"/>
                <w:lang w:val="en-US"/>
              </w:rPr>
            </w:pPr>
            <w:r w:rsidRPr="00F62EB3">
              <w:rPr>
                <w:b w:val="0"/>
                <w:lang w:val="en-US"/>
              </w:rPr>
              <w:t>Loans - drawings or repayments on loans extended to nonresidents - long-term</w:t>
            </w:r>
          </w:p>
        </w:tc>
      </w:tr>
      <w:tr w:rsidR="005F50B4" w:rsidRPr="00233639">
        <w:tblPrEx>
          <w:tblCellMar>
            <w:right w:w="0" w:type="dxa"/>
          </w:tblCellMar>
        </w:tblPrEx>
        <w:trPr>
          <w:trHeight w:val="240"/>
        </w:trPr>
        <w:tc>
          <w:tcPr>
            <w:tcW w:w="0" w:type="auto"/>
            <w:vMerge/>
            <w:tcBorders>
              <w:top w:val="nil"/>
              <w:left w:val="single" w:sz="4" w:space="0" w:color="000000"/>
              <w:bottom w:val="nil"/>
              <w:right w:val="single" w:sz="4" w:space="0" w:color="000000"/>
            </w:tcBorders>
          </w:tcPr>
          <w:p w:rsidR="005F50B4" w:rsidRPr="00C628F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LEA </w:t>
            </w:r>
          </w:p>
        </w:tc>
        <w:tc>
          <w:tcPr>
            <w:tcW w:w="6673" w:type="dxa"/>
            <w:tcBorders>
              <w:top w:val="single" w:sz="4" w:space="0" w:color="000000"/>
              <w:left w:val="single" w:sz="4" w:space="0" w:color="000000"/>
              <w:bottom w:val="single" w:sz="4" w:space="0" w:color="000000"/>
              <w:right w:val="single" w:sz="4" w:space="0" w:color="000000"/>
            </w:tcBorders>
          </w:tcPr>
          <w:p w:rsidR="005F50B4" w:rsidRPr="00F62EB3" w:rsidRDefault="00F62EB3" w:rsidP="00C628F6">
            <w:pPr>
              <w:spacing w:line="259" w:lineRule="auto"/>
              <w:jc w:val="left"/>
              <w:rPr>
                <w:b w:val="0"/>
                <w:lang w:val="en-US"/>
              </w:rPr>
            </w:pPr>
            <w:r w:rsidRPr="00F62EB3">
              <w:rPr>
                <w:b w:val="0"/>
                <w:lang w:val="en-US"/>
              </w:rPr>
              <w:t>Leasing abroad (leasing under an agreement between a resident and a non-resident)</w:t>
            </w:r>
          </w:p>
        </w:tc>
      </w:tr>
      <w:tr w:rsidR="005F50B4" w:rsidRPr="00233639">
        <w:tblPrEx>
          <w:tblCellMar>
            <w:right w:w="0" w:type="dxa"/>
          </w:tblCellMar>
        </w:tblPrEx>
        <w:trPr>
          <w:trHeight w:val="240"/>
        </w:trPr>
        <w:tc>
          <w:tcPr>
            <w:tcW w:w="0" w:type="auto"/>
            <w:vMerge/>
            <w:tcBorders>
              <w:top w:val="nil"/>
              <w:left w:val="single" w:sz="4" w:space="0" w:color="000000"/>
              <w:bottom w:val="nil"/>
              <w:right w:val="single" w:sz="4" w:space="0" w:color="000000"/>
            </w:tcBorders>
          </w:tcPr>
          <w:p w:rsidR="005F50B4" w:rsidRPr="00C628F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RFS </w:t>
            </w:r>
          </w:p>
        </w:tc>
        <w:tc>
          <w:tcPr>
            <w:tcW w:w="6673" w:type="dxa"/>
            <w:tcBorders>
              <w:top w:val="single" w:sz="4" w:space="0" w:color="000000"/>
              <w:left w:val="single" w:sz="4" w:space="0" w:color="000000"/>
              <w:bottom w:val="single" w:sz="4" w:space="0" w:color="000000"/>
              <w:right w:val="single" w:sz="4" w:space="0" w:color="000000"/>
            </w:tcBorders>
          </w:tcPr>
          <w:p w:rsidR="005F50B4" w:rsidRPr="00F62EB3" w:rsidRDefault="00F62EB3" w:rsidP="00C628F6">
            <w:pPr>
              <w:spacing w:line="259" w:lineRule="auto"/>
              <w:jc w:val="left"/>
              <w:rPr>
                <w:b w:val="0"/>
                <w:lang w:val="en-US"/>
              </w:rPr>
            </w:pPr>
            <w:r w:rsidRPr="00F62EB3">
              <w:rPr>
                <w:b w:val="0"/>
              </w:rPr>
              <w:t>Repos on foreign securities</w:t>
            </w:r>
          </w:p>
        </w:tc>
      </w:tr>
      <w:tr w:rsidR="005F50B4" w:rsidRPr="00F62EB3" w:rsidTr="00832270">
        <w:tblPrEx>
          <w:tblCellMar>
            <w:right w:w="0" w:type="dxa"/>
          </w:tblCellMar>
        </w:tblPrEx>
        <w:trPr>
          <w:trHeight w:val="68"/>
        </w:trPr>
        <w:tc>
          <w:tcPr>
            <w:tcW w:w="0" w:type="auto"/>
            <w:vMerge/>
            <w:tcBorders>
              <w:top w:val="nil"/>
              <w:left w:val="single" w:sz="4" w:space="0" w:color="000000"/>
              <w:bottom w:val="single" w:sz="4" w:space="0" w:color="000000"/>
              <w:right w:val="single" w:sz="4" w:space="0" w:color="000000"/>
            </w:tcBorders>
          </w:tcPr>
          <w:p w:rsidR="005F50B4" w:rsidRPr="00C628F6"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TCR </w:t>
            </w:r>
          </w:p>
        </w:tc>
        <w:tc>
          <w:tcPr>
            <w:tcW w:w="6673" w:type="dxa"/>
            <w:tcBorders>
              <w:top w:val="single" w:sz="4" w:space="0" w:color="000000"/>
              <w:left w:val="single" w:sz="4" w:space="0" w:color="000000"/>
              <w:bottom w:val="single" w:sz="4" w:space="0" w:color="000000"/>
              <w:right w:val="single" w:sz="4" w:space="0" w:color="000000"/>
            </w:tcBorders>
          </w:tcPr>
          <w:p w:rsidR="005F50B4" w:rsidRPr="00F62EB3" w:rsidRDefault="00F62EB3">
            <w:pPr>
              <w:spacing w:line="259" w:lineRule="auto"/>
              <w:jc w:val="left"/>
              <w:rPr>
                <w:b w:val="0"/>
                <w:lang w:val="en-US"/>
              </w:rPr>
            </w:pPr>
            <w:r w:rsidRPr="00F62EB3">
              <w:rPr>
                <w:b w:val="0"/>
                <w:lang w:val="en-US"/>
              </w:rPr>
              <w:t>Trade credits and advances receivable</w:t>
            </w:r>
          </w:p>
        </w:tc>
      </w:tr>
      <w:tr w:rsidR="005F50B4">
        <w:tblPrEx>
          <w:tblCellMar>
            <w:right w:w="0" w:type="dxa"/>
          </w:tblCellMar>
        </w:tblPrEx>
        <w:trPr>
          <w:trHeight w:val="240"/>
        </w:trPr>
        <w:tc>
          <w:tcPr>
            <w:tcW w:w="9573" w:type="dxa"/>
            <w:gridSpan w:val="3"/>
            <w:tcBorders>
              <w:top w:val="single" w:sz="4" w:space="0" w:color="000000"/>
              <w:left w:val="single" w:sz="4" w:space="0" w:color="000000"/>
              <w:bottom w:val="single" w:sz="4" w:space="0" w:color="000000"/>
              <w:right w:val="single" w:sz="4" w:space="0" w:color="000000"/>
            </w:tcBorders>
          </w:tcPr>
          <w:p w:rsidR="005F50B4" w:rsidRDefault="00511E8C" w:rsidP="00511E8C">
            <w:pPr>
              <w:spacing w:line="259" w:lineRule="auto"/>
              <w:ind w:right="112"/>
            </w:pPr>
            <w:r>
              <w:t xml:space="preserve">3. </w:t>
            </w:r>
            <w:r>
              <w:rPr>
                <w:lang w:val="en-US"/>
              </w:rPr>
              <w:t>Liabilities</w:t>
            </w:r>
            <w:r w:rsidR="007764A7">
              <w:t xml:space="preserve"> </w:t>
            </w:r>
          </w:p>
        </w:tc>
      </w:tr>
      <w:tr w:rsidR="005F50B4" w:rsidRPr="00233639">
        <w:tblPrEx>
          <w:tblCellMar>
            <w:right w:w="0" w:type="dxa"/>
          </w:tblCellMar>
        </w:tblPrEx>
        <w:trPr>
          <w:trHeight w:val="698"/>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Pr="00C434CA" w:rsidRDefault="00C434CA" w:rsidP="003A63B8">
            <w:pPr>
              <w:spacing w:after="30" w:line="241" w:lineRule="auto"/>
              <w:rPr>
                <w:lang w:val="en-US"/>
              </w:rPr>
            </w:pPr>
            <w:r>
              <w:rPr>
                <w:lang w:val="en-US"/>
              </w:rPr>
              <w:t>Direct foreign investments – purchase</w:t>
            </w:r>
            <w:r w:rsidR="003A63B8">
              <w:rPr>
                <w:lang w:val="en-US"/>
              </w:rPr>
              <w:t>s</w:t>
            </w:r>
            <w:r>
              <w:rPr>
                <w:lang w:val="en-US"/>
              </w:rPr>
              <w:t xml:space="preserve"> and </w:t>
            </w:r>
            <w:r w:rsidR="003A63B8">
              <w:rPr>
                <w:lang w:val="en-US"/>
              </w:rPr>
              <w:t>sales</w:t>
            </w:r>
            <w:r>
              <w:rPr>
                <w:lang w:val="en-US"/>
              </w:rPr>
              <w:t xml:space="preserve"> by nonresid</w:t>
            </w:r>
            <w:r w:rsidR="003A63B8">
              <w:rPr>
                <w:lang w:val="en-US"/>
              </w:rPr>
              <w:t>ents of shares and securities (above</w:t>
            </w:r>
            <w:r>
              <w:rPr>
                <w:lang w:val="en-US"/>
              </w:rPr>
              <w:t xml:space="preserve"> 10</w:t>
            </w:r>
            <w:r w:rsidR="003A63B8">
              <w:rPr>
                <w:lang w:val="en-US"/>
              </w:rPr>
              <w:t>% share</w:t>
            </w:r>
            <w:r>
              <w:rPr>
                <w:lang w:val="en-US"/>
              </w:rPr>
              <w:t>)</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CEL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rsidP="007644EB">
            <w:pPr>
              <w:spacing w:line="259" w:lineRule="auto"/>
              <w:ind w:right="89"/>
              <w:jc w:val="left"/>
              <w:rPr>
                <w:b w:val="0"/>
                <w:lang w:val="en-US"/>
              </w:rPr>
            </w:pPr>
            <w:r w:rsidRPr="002A53A0">
              <w:rPr>
                <w:b w:val="0"/>
                <w:lang w:val="en-US"/>
              </w:rPr>
              <w:t>Equity and investment fund shares for the establishment of new company in the UAE from non-residents, equity of merger or acquisition of companies in the UAE from non-residents and participation to capital increase of related companies from non-residents in the UAE</w:t>
            </w:r>
          </w:p>
        </w:tc>
      </w:tr>
      <w:tr w:rsidR="005F50B4" w:rsidRPr="00233639">
        <w:tblPrEx>
          <w:tblCellMar>
            <w:right w:w="0" w:type="dxa"/>
          </w:tblCellMar>
        </w:tblPrEx>
        <w:trPr>
          <w:trHeight w:val="240"/>
        </w:trPr>
        <w:tc>
          <w:tcPr>
            <w:tcW w:w="0" w:type="auto"/>
            <w:vMerge/>
            <w:tcBorders>
              <w:top w:val="nil"/>
              <w:left w:val="single" w:sz="4" w:space="0" w:color="000000"/>
              <w:bottom w:val="nil"/>
              <w:right w:val="single" w:sz="4" w:space="0" w:color="000000"/>
            </w:tcBorders>
          </w:tcPr>
          <w:p w:rsidR="005F50B4" w:rsidRPr="007644EB"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LDS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rsidP="005D3ED2">
            <w:pPr>
              <w:jc w:val="left"/>
              <w:rPr>
                <w:b w:val="0"/>
                <w:sz w:val="24"/>
                <w:szCs w:val="24"/>
                <w:lang w:val="en-US"/>
              </w:rPr>
            </w:pPr>
            <w:r w:rsidRPr="002A53A0">
              <w:rPr>
                <w:b w:val="0"/>
                <w:lang w:val="en-US"/>
              </w:rPr>
              <w:t>Debt instruments intragroup securities in the UAE</w:t>
            </w:r>
          </w:p>
        </w:tc>
      </w:tr>
      <w:tr w:rsidR="005F50B4">
        <w:tblPrEx>
          <w:tblCellMar>
            <w:right w:w="0" w:type="dxa"/>
          </w:tblCellMar>
        </w:tblPrEx>
        <w:trPr>
          <w:trHeight w:val="240"/>
        </w:trPr>
        <w:tc>
          <w:tcPr>
            <w:tcW w:w="0" w:type="auto"/>
            <w:vMerge/>
            <w:tcBorders>
              <w:top w:val="nil"/>
              <w:left w:val="single" w:sz="4" w:space="0" w:color="000000"/>
              <w:bottom w:val="nil"/>
              <w:right w:val="single" w:sz="4" w:space="0" w:color="000000"/>
            </w:tcBorders>
          </w:tcPr>
          <w:p w:rsidR="005F50B4" w:rsidRPr="007644EB"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REA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rsidP="007644EB">
            <w:pPr>
              <w:spacing w:line="259" w:lineRule="auto"/>
              <w:jc w:val="left"/>
              <w:rPr>
                <w:b w:val="0"/>
              </w:rPr>
            </w:pPr>
            <w:r w:rsidRPr="002A53A0">
              <w:rPr>
                <w:b w:val="0"/>
              </w:rPr>
              <w:t>Reverse equity share abroad</w:t>
            </w:r>
          </w:p>
        </w:tc>
      </w:tr>
      <w:tr w:rsidR="005F50B4">
        <w:tblPrEx>
          <w:tblCellMar>
            <w:right w:w="0" w:type="dxa"/>
          </w:tblCellMar>
        </w:tblPrEx>
        <w:trPr>
          <w:trHeight w:val="1130"/>
        </w:trPr>
        <w:tc>
          <w:tcPr>
            <w:tcW w:w="0" w:type="auto"/>
            <w:vMerge/>
            <w:tcBorders>
              <w:top w:val="nil"/>
              <w:left w:val="single" w:sz="4" w:space="0" w:color="000000"/>
              <w:bottom w:val="single" w:sz="4" w:space="0" w:color="000000"/>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RDA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rPr>
              <w:t>Reverse debt instruments abroad</w:t>
            </w:r>
          </w:p>
        </w:tc>
      </w:tr>
      <w:tr w:rsidR="005F50B4" w:rsidRPr="00FB297A">
        <w:tblPrEx>
          <w:tblCellMar>
            <w:right w:w="0" w:type="dxa"/>
          </w:tblCellMar>
        </w:tblPrEx>
        <w:trPr>
          <w:trHeight w:val="471"/>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Pr="002248F4" w:rsidRDefault="00C434CA" w:rsidP="0030415A">
            <w:pPr>
              <w:spacing w:line="275" w:lineRule="auto"/>
              <w:rPr>
                <w:lang w:val="en-US"/>
              </w:rPr>
            </w:pPr>
            <w:r>
              <w:rPr>
                <w:lang w:val="en-US"/>
              </w:rPr>
              <w:t>Portfolio investments – purchase</w:t>
            </w:r>
            <w:r w:rsidR="0030415A">
              <w:rPr>
                <w:lang w:val="en-US"/>
              </w:rPr>
              <w:t>s</w:t>
            </w:r>
            <w:r>
              <w:rPr>
                <w:lang w:val="en-US"/>
              </w:rPr>
              <w:t xml:space="preserve"> and </w:t>
            </w:r>
            <w:r w:rsidR="0030415A">
              <w:rPr>
                <w:lang w:val="en-US"/>
              </w:rPr>
              <w:t>sales by non</w:t>
            </w:r>
            <w:r w:rsidR="002248F4">
              <w:rPr>
                <w:lang w:val="en-US"/>
              </w:rPr>
              <w:t>residents of shares and securities (less than 10</w:t>
            </w:r>
            <w:r w:rsidR="0030415A">
              <w:rPr>
                <w:lang w:val="en-US"/>
              </w:rPr>
              <w:t>% share</w:t>
            </w:r>
            <w:r w:rsidR="002248F4">
              <w:rPr>
                <w:lang w:val="en-US"/>
              </w:rPr>
              <w:t>)</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FSL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rsidP="00FB297A">
            <w:pPr>
              <w:jc w:val="left"/>
              <w:rPr>
                <w:b w:val="0"/>
                <w:lang w:val="en-US"/>
              </w:rPr>
            </w:pPr>
            <w:r w:rsidRPr="002A53A0">
              <w:rPr>
                <w:b w:val="0"/>
                <w:lang w:val="en-US"/>
              </w:rPr>
              <w:t>Equity other than investment fund shares in not related companies in the UAE</w:t>
            </w:r>
          </w:p>
        </w:tc>
      </w:tr>
      <w:tr w:rsidR="005F50B4" w:rsidRPr="00FB297A">
        <w:tblPrEx>
          <w:tblCellMar>
            <w:right w:w="0" w:type="dxa"/>
          </w:tblCellMar>
        </w:tblPrEx>
        <w:trPr>
          <w:trHeight w:val="240"/>
        </w:trPr>
        <w:tc>
          <w:tcPr>
            <w:tcW w:w="0" w:type="auto"/>
            <w:vMerge/>
            <w:tcBorders>
              <w:top w:val="nil"/>
              <w:left w:val="single" w:sz="4" w:space="0" w:color="000000"/>
              <w:bottom w:val="nil"/>
              <w:right w:val="single" w:sz="4" w:space="0" w:color="000000"/>
            </w:tcBorders>
          </w:tcPr>
          <w:p w:rsidR="005F50B4" w:rsidRPr="00FB297A"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FIL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lang w:val="en-US"/>
              </w:rPr>
              <w:t>Investment fund shares in the UAE</w:t>
            </w:r>
          </w:p>
        </w:tc>
      </w:tr>
      <w:tr w:rsidR="005F50B4" w:rsidRPr="00FB297A">
        <w:tblPrEx>
          <w:tblCellMar>
            <w:right w:w="0" w:type="dxa"/>
          </w:tblCellMar>
        </w:tblPrEx>
        <w:trPr>
          <w:trHeight w:val="470"/>
        </w:trPr>
        <w:tc>
          <w:tcPr>
            <w:tcW w:w="0" w:type="auto"/>
            <w:vMerge/>
            <w:tcBorders>
              <w:top w:val="nil"/>
              <w:left w:val="single" w:sz="4" w:space="0" w:color="000000"/>
              <w:bottom w:val="nil"/>
              <w:right w:val="single" w:sz="4" w:space="0" w:color="000000"/>
            </w:tcBorders>
          </w:tcPr>
          <w:p w:rsidR="005F50B4" w:rsidRPr="00FB297A"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DSL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lang w:val="en-US"/>
              </w:rPr>
              <w:t>Purchases and sales of securities issued by residents in not related companies - less than a year</w:t>
            </w:r>
          </w:p>
        </w:tc>
      </w:tr>
      <w:tr w:rsidR="005F50B4" w:rsidRPr="00FB297A">
        <w:tblPrEx>
          <w:tblCellMar>
            <w:right w:w="0" w:type="dxa"/>
          </w:tblCellMar>
        </w:tblPrEx>
        <w:trPr>
          <w:trHeight w:val="470"/>
        </w:trPr>
        <w:tc>
          <w:tcPr>
            <w:tcW w:w="0" w:type="auto"/>
            <w:vMerge/>
            <w:tcBorders>
              <w:top w:val="nil"/>
              <w:left w:val="single" w:sz="4" w:space="0" w:color="000000"/>
              <w:bottom w:val="nil"/>
              <w:right w:val="single" w:sz="4" w:space="0" w:color="000000"/>
            </w:tcBorders>
          </w:tcPr>
          <w:p w:rsidR="005F50B4" w:rsidRPr="00FB297A"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DLL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lang w:val="en-US"/>
              </w:rPr>
              <w:t>Purchases and sales of securities issued by residents in not related companies - more than a year</w:t>
            </w:r>
          </w:p>
        </w:tc>
      </w:tr>
      <w:tr w:rsidR="005F50B4" w:rsidRPr="00FB297A">
        <w:tblPrEx>
          <w:tblCellMar>
            <w:right w:w="0" w:type="dxa"/>
          </w:tblCellMar>
        </w:tblPrEx>
        <w:trPr>
          <w:trHeight w:val="430"/>
        </w:trPr>
        <w:tc>
          <w:tcPr>
            <w:tcW w:w="0" w:type="auto"/>
            <w:vMerge/>
            <w:tcBorders>
              <w:top w:val="nil"/>
              <w:left w:val="single" w:sz="4" w:space="0" w:color="000000"/>
              <w:bottom w:val="single" w:sz="4" w:space="0" w:color="000000"/>
              <w:right w:val="single" w:sz="4" w:space="0" w:color="000000"/>
            </w:tcBorders>
          </w:tcPr>
          <w:p w:rsidR="005F50B4" w:rsidRPr="00FB297A"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FDL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lang w:val="en-US"/>
              </w:rPr>
              <w:t>Financial derivatives in the UAE</w:t>
            </w:r>
          </w:p>
        </w:tc>
      </w:tr>
      <w:tr w:rsidR="005F50B4" w:rsidRPr="002A53A0">
        <w:tblPrEx>
          <w:tblCellMar>
            <w:right w:w="0" w:type="dxa"/>
          </w:tblCellMar>
        </w:tblPrEx>
        <w:trPr>
          <w:trHeight w:val="470"/>
        </w:trPr>
        <w:tc>
          <w:tcPr>
            <w:tcW w:w="1752" w:type="dxa"/>
            <w:vMerge w:val="restart"/>
            <w:tcBorders>
              <w:top w:val="single" w:sz="4" w:space="0" w:color="000000"/>
              <w:left w:val="single" w:sz="4" w:space="0" w:color="000000"/>
              <w:bottom w:val="single" w:sz="4" w:space="0" w:color="000000"/>
              <w:right w:val="single" w:sz="4" w:space="0" w:color="000000"/>
            </w:tcBorders>
          </w:tcPr>
          <w:p w:rsidR="005F50B4" w:rsidRPr="000460F0" w:rsidRDefault="000460F0" w:rsidP="000460F0">
            <w:pPr>
              <w:spacing w:line="241" w:lineRule="auto"/>
              <w:rPr>
                <w:lang w:val="en-US"/>
              </w:rPr>
            </w:pPr>
            <w:r>
              <w:rPr>
                <w:lang w:val="en-US"/>
              </w:rPr>
              <w:t>Repayments on loans and transfers by non-residents of loans and deposits in the UAE</w:t>
            </w: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LDL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lang w:val="en-US"/>
              </w:rPr>
              <w:t>Debt instruments intragroup loans, deposits in the uae (above 10% share)</w:t>
            </w:r>
          </w:p>
        </w:tc>
      </w:tr>
      <w:tr w:rsidR="005F50B4" w:rsidRPr="002A53A0">
        <w:tblPrEx>
          <w:tblCellMar>
            <w:right w:w="0" w:type="dxa"/>
          </w:tblCellMar>
        </w:tblPrEx>
        <w:trPr>
          <w:trHeight w:val="238"/>
        </w:trPr>
        <w:tc>
          <w:tcPr>
            <w:tcW w:w="0" w:type="auto"/>
            <w:vMerge/>
            <w:tcBorders>
              <w:top w:val="nil"/>
              <w:left w:val="single" w:sz="4" w:space="0" w:color="000000"/>
              <w:bottom w:val="nil"/>
              <w:right w:val="single" w:sz="4" w:space="0" w:color="000000"/>
            </w:tcBorders>
          </w:tcPr>
          <w:p w:rsidR="005F50B4" w:rsidRPr="002A53A0"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AFL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lang w:val="en-US"/>
              </w:rPr>
              <w:t>Receipts or payments from personal non-resident bank account in the uae</w:t>
            </w:r>
          </w:p>
        </w:tc>
      </w:tr>
      <w:tr w:rsidR="005F50B4" w:rsidRPr="002A53A0">
        <w:tblPrEx>
          <w:tblCellMar>
            <w:right w:w="0" w:type="dxa"/>
          </w:tblCellMar>
        </w:tblPrEx>
        <w:trPr>
          <w:trHeight w:val="240"/>
        </w:trPr>
        <w:tc>
          <w:tcPr>
            <w:tcW w:w="0" w:type="auto"/>
            <w:vMerge/>
            <w:tcBorders>
              <w:top w:val="nil"/>
              <w:left w:val="single" w:sz="4" w:space="0" w:color="000000"/>
              <w:bottom w:val="nil"/>
              <w:right w:val="single" w:sz="4" w:space="0" w:color="000000"/>
            </w:tcBorders>
          </w:tcPr>
          <w:p w:rsidR="005F50B4" w:rsidRPr="002A53A0"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SLL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lang w:val="en-US"/>
              </w:rPr>
              <w:t>Loans - drawings or repayments on foreign loans extended to residents - short-term</w:t>
            </w:r>
          </w:p>
        </w:tc>
      </w:tr>
      <w:tr w:rsidR="005F50B4" w:rsidRPr="002A53A0">
        <w:tblPrEx>
          <w:tblCellMar>
            <w:right w:w="0" w:type="dxa"/>
          </w:tblCellMar>
        </w:tblPrEx>
        <w:trPr>
          <w:trHeight w:val="240"/>
        </w:trPr>
        <w:tc>
          <w:tcPr>
            <w:tcW w:w="0" w:type="auto"/>
            <w:vMerge/>
            <w:tcBorders>
              <w:top w:val="nil"/>
              <w:left w:val="single" w:sz="4" w:space="0" w:color="000000"/>
              <w:bottom w:val="nil"/>
              <w:right w:val="single" w:sz="4" w:space="0" w:color="000000"/>
            </w:tcBorders>
          </w:tcPr>
          <w:p w:rsidR="005F50B4" w:rsidRPr="002A53A0"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LLL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lang w:val="en-US"/>
              </w:rPr>
              <w:t>Loans - drawings or repayments on foreign loans extended to residents - long-term</w:t>
            </w:r>
          </w:p>
        </w:tc>
      </w:tr>
      <w:tr w:rsidR="005F50B4">
        <w:tblPrEx>
          <w:tblCellMar>
            <w:right w:w="0" w:type="dxa"/>
          </w:tblCellMar>
        </w:tblPrEx>
        <w:trPr>
          <w:trHeight w:val="240"/>
        </w:trPr>
        <w:tc>
          <w:tcPr>
            <w:tcW w:w="0" w:type="auto"/>
            <w:vMerge/>
            <w:tcBorders>
              <w:top w:val="nil"/>
              <w:left w:val="single" w:sz="4" w:space="0" w:color="000000"/>
              <w:bottom w:val="nil"/>
              <w:right w:val="single" w:sz="4" w:space="0" w:color="000000"/>
            </w:tcBorders>
          </w:tcPr>
          <w:p w:rsidR="005F50B4" w:rsidRPr="002A53A0"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LEL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rPr>
            </w:pPr>
            <w:r w:rsidRPr="002A53A0">
              <w:rPr>
                <w:b w:val="0"/>
              </w:rPr>
              <w:t>Leasing in the uae</w:t>
            </w:r>
          </w:p>
        </w:tc>
      </w:tr>
      <w:tr w:rsidR="005F50B4" w:rsidRPr="002A53A0" w:rsidTr="002A53A0">
        <w:tblPrEx>
          <w:tblCellMar>
            <w:right w:w="0" w:type="dxa"/>
          </w:tblCellMar>
        </w:tblPrEx>
        <w:trPr>
          <w:trHeight w:val="68"/>
        </w:trPr>
        <w:tc>
          <w:tcPr>
            <w:tcW w:w="0" w:type="auto"/>
            <w:vMerge/>
            <w:tcBorders>
              <w:top w:val="nil"/>
              <w:left w:val="single" w:sz="4" w:space="0" w:color="000000"/>
              <w:bottom w:val="nil"/>
              <w:right w:val="single" w:sz="4" w:space="0" w:color="000000"/>
            </w:tcBorders>
          </w:tcPr>
          <w:p w:rsidR="005F50B4" w:rsidRDefault="005F50B4">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RLS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lang w:val="en-US"/>
              </w:rPr>
              <w:t>Repos on securities issued by residents</w:t>
            </w:r>
          </w:p>
        </w:tc>
      </w:tr>
      <w:tr w:rsidR="005F50B4" w:rsidRPr="002A53A0">
        <w:tblPrEx>
          <w:tblCellMar>
            <w:right w:w="0" w:type="dxa"/>
          </w:tblCellMar>
        </w:tblPrEx>
        <w:trPr>
          <w:trHeight w:val="240"/>
        </w:trPr>
        <w:tc>
          <w:tcPr>
            <w:tcW w:w="0" w:type="auto"/>
            <w:vMerge/>
            <w:tcBorders>
              <w:top w:val="nil"/>
              <w:left w:val="single" w:sz="4" w:space="0" w:color="000000"/>
              <w:bottom w:val="single" w:sz="4" w:space="0" w:color="000000"/>
              <w:right w:val="single" w:sz="4" w:space="0" w:color="000000"/>
            </w:tcBorders>
          </w:tcPr>
          <w:p w:rsidR="005F50B4" w:rsidRPr="002A53A0" w:rsidRDefault="005F50B4">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5F50B4" w:rsidRDefault="007764A7">
            <w:pPr>
              <w:spacing w:line="259" w:lineRule="auto"/>
              <w:ind w:left="2"/>
              <w:jc w:val="left"/>
            </w:pPr>
            <w:r>
              <w:rPr>
                <w:b w:val="0"/>
              </w:rPr>
              <w:t xml:space="preserve">TCP </w:t>
            </w:r>
          </w:p>
        </w:tc>
        <w:tc>
          <w:tcPr>
            <w:tcW w:w="6673" w:type="dxa"/>
            <w:tcBorders>
              <w:top w:val="single" w:sz="4" w:space="0" w:color="000000"/>
              <w:left w:val="single" w:sz="4" w:space="0" w:color="000000"/>
              <w:bottom w:val="single" w:sz="4" w:space="0" w:color="000000"/>
              <w:right w:val="single" w:sz="4" w:space="0" w:color="000000"/>
            </w:tcBorders>
          </w:tcPr>
          <w:p w:rsidR="005F50B4" w:rsidRPr="002A53A0" w:rsidRDefault="002A53A0">
            <w:pPr>
              <w:spacing w:line="259" w:lineRule="auto"/>
              <w:jc w:val="left"/>
              <w:rPr>
                <w:b w:val="0"/>
                <w:lang w:val="en-US"/>
              </w:rPr>
            </w:pPr>
            <w:r w:rsidRPr="002A53A0">
              <w:rPr>
                <w:b w:val="0"/>
                <w:lang w:val="en-US"/>
              </w:rPr>
              <w:t>Trade credits and advances payable</w:t>
            </w:r>
          </w:p>
        </w:tc>
      </w:tr>
      <w:tr w:rsidR="005F50B4">
        <w:tblPrEx>
          <w:tblCellMar>
            <w:right w:w="0" w:type="dxa"/>
          </w:tblCellMar>
        </w:tblPrEx>
        <w:trPr>
          <w:trHeight w:val="240"/>
        </w:trPr>
        <w:tc>
          <w:tcPr>
            <w:tcW w:w="9573" w:type="dxa"/>
            <w:gridSpan w:val="3"/>
            <w:tcBorders>
              <w:top w:val="single" w:sz="4" w:space="0" w:color="000000"/>
              <w:left w:val="single" w:sz="4" w:space="0" w:color="000000"/>
              <w:bottom w:val="single" w:sz="4" w:space="0" w:color="000000"/>
              <w:right w:val="single" w:sz="4" w:space="0" w:color="000000"/>
            </w:tcBorders>
          </w:tcPr>
          <w:p w:rsidR="005F50B4" w:rsidRPr="00565047" w:rsidRDefault="007764A7" w:rsidP="00565047">
            <w:pPr>
              <w:spacing w:line="259" w:lineRule="auto"/>
              <w:ind w:right="111"/>
              <w:rPr>
                <w:lang w:val="en-US"/>
              </w:rPr>
            </w:pPr>
            <w:r>
              <w:t xml:space="preserve">4. </w:t>
            </w:r>
            <w:r w:rsidR="00565047">
              <w:rPr>
                <w:lang w:val="en-US"/>
              </w:rPr>
              <w:t>Others</w:t>
            </w:r>
          </w:p>
        </w:tc>
      </w:tr>
      <w:tr w:rsidR="001E2838" w:rsidTr="00573705">
        <w:tblPrEx>
          <w:tblCellMar>
            <w:right w:w="0" w:type="dxa"/>
          </w:tblCellMar>
        </w:tblPrEx>
        <w:trPr>
          <w:trHeight w:val="240"/>
        </w:trPr>
        <w:tc>
          <w:tcPr>
            <w:tcW w:w="1752" w:type="dxa"/>
            <w:vMerge w:val="restart"/>
            <w:tcBorders>
              <w:top w:val="single" w:sz="4" w:space="0" w:color="000000"/>
              <w:left w:val="single" w:sz="4" w:space="0" w:color="000000"/>
              <w:right w:val="single" w:sz="4" w:space="0" w:color="000000"/>
            </w:tcBorders>
          </w:tcPr>
          <w:p w:rsidR="001E2838" w:rsidRDefault="001E2838">
            <w:pPr>
              <w:spacing w:line="259" w:lineRule="auto"/>
              <w:ind w:right="111"/>
            </w:pPr>
            <w:r>
              <w:rPr>
                <w:lang w:val="en-US"/>
              </w:rPr>
              <w:t>Other remittances</w:t>
            </w:r>
            <w:r>
              <w:rPr>
                <w:b w:val="0"/>
              </w:rPr>
              <w:t xml:space="preserve"> </w:t>
            </w: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EDU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Educational support</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ALW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Allowance</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AES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Advance payment against eos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LAS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Leave salary</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OVT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Overtime</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TKT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Tickets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SAA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Salary advance</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COP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Compensation</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COM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Commission</w:t>
            </w:r>
          </w:p>
        </w:tc>
      </w:tr>
      <w:tr w:rsidR="001E2838" w:rsidRP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EOS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lang w:val="en-US"/>
              </w:rPr>
            </w:pPr>
            <w:r w:rsidRPr="00401AD4">
              <w:rPr>
                <w:b w:val="0"/>
                <w:lang w:val="en-US"/>
              </w:rPr>
              <w:t>End of service / final settlement</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Pr="001E2838" w:rsidRDefault="001E2838">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BON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Bonus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PEN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Pension</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UTL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Utility bill payments</w:t>
            </w:r>
          </w:p>
        </w:tc>
      </w:tr>
      <w:tr w:rsidR="001E2838" w:rsidTr="001E2838">
        <w:tblPrEx>
          <w:tblCellMar>
            <w:right w:w="0" w:type="dxa"/>
          </w:tblCellMar>
        </w:tblPrEx>
        <w:trPr>
          <w:trHeight w:val="207"/>
        </w:trPr>
        <w:tc>
          <w:tcPr>
            <w:tcW w:w="0" w:type="auto"/>
            <w:vMerge/>
            <w:tcBorders>
              <w:left w:val="single" w:sz="4" w:space="0" w:color="000000"/>
              <w:bottom w:val="nil"/>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DCP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rsidP="001E2838">
            <w:pPr>
              <w:spacing w:line="259" w:lineRule="auto"/>
              <w:jc w:val="left"/>
              <w:rPr>
                <w:b w:val="0"/>
              </w:rPr>
            </w:pPr>
            <w:r w:rsidRPr="00401AD4">
              <w:rPr>
                <w:b w:val="0"/>
              </w:rPr>
              <w:t>Debit card payments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LND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Loan disbursements from fi</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LIP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Loan interest payments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IPO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Ipo subscriptions</w:t>
            </w:r>
          </w:p>
        </w:tc>
      </w:tr>
      <w:tr w:rsidR="001E2838" w:rsidRP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POR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lang w:val="en-US"/>
              </w:rPr>
            </w:pPr>
            <w:r w:rsidRPr="00401AD4">
              <w:rPr>
                <w:b w:val="0"/>
                <w:lang w:val="en-US"/>
              </w:rPr>
              <w:t>Refunds/reversals on ipo subscriptions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Pr="001E2838" w:rsidRDefault="001E2838">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RNT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rsidP="001E2838">
            <w:pPr>
              <w:jc w:val="left"/>
              <w:rPr>
                <w:b w:val="0"/>
                <w:sz w:val="24"/>
                <w:szCs w:val="24"/>
                <w:lang w:val="en-US"/>
              </w:rPr>
            </w:pPr>
            <w:r w:rsidRPr="00401AD4">
              <w:rPr>
                <w:b w:val="0"/>
              </w:rPr>
              <w:t>Rent payments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LNC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Loan charges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EMI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Equated monthly installments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DIV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Dividend payouts from fi</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vAlign w:val="bottom"/>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ACM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Agency commissions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CCP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Corporate card payments</w:t>
            </w:r>
          </w:p>
        </w:tc>
      </w:tr>
      <w:tr w:rsidR="001E2838" w:rsidTr="00573705">
        <w:tblPrEx>
          <w:tblCellMar>
            <w:right w:w="0" w:type="dxa"/>
          </w:tblCellMar>
        </w:tblPrEx>
        <w:trPr>
          <w:trHeight w:val="47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POS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Pos merchant settlement</w:t>
            </w:r>
          </w:p>
        </w:tc>
      </w:tr>
      <w:tr w:rsidR="001E2838" w:rsidRPr="00DD275D" w:rsidTr="00573705">
        <w:tblPrEx>
          <w:tblCellMar>
            <w:right w:w="0" w:type="dxa"/>
          </w:tblCellMar>
        </w:tblPrEx>
        <w:trPr>
          <w:trHeight w:val="47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MCR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rsidP="001E2838">
            <w:pPr>
              <w:spacing w:line="259" w:lineRule="auto"/>
              <w:jc w:val="left"/>
              <w:rPr>
                <w:b w:val="0"/>
                <w:lang w:val="en-US"/>
              </w:rPr>
            </w:pPr>
            <w:r w:rsidRPr="00401AD4">
              <w:rPr>
                <w:b w:val="0"/>
                <w:lang w:val="en-US"/>
              </w:rPr>
              <w:t xml:space="preserve">Monetary claim reimbursements on medical, car and other types of insurance </w:t>
            </w:r>
          </w:p>
        </w:tc>
      </w:tr>
      <w:tr w:rsidR="001E2838" w:rsidTr="00573705">
        <w:tblPrEx>
          <w:tblCellMar>
            <w:right w:w="0" w:type="dxa"/>
          </w:tblCellMar>
        </w:tblPrEx>
        <w:trPr>
          <w:trHeight w:val="241"/>
        </w:trPr>
        <w:tc>
          <w:tcPr>
            <w:tcW w:w="0" w:type="auto"/>
            <w:vMerge/>
            <w:tcBorders>
              <w:left w:val="single" w:sz="4" w:space="0" w:color="000000"/>
              <w:right w:val="single" w:sz="4" w:space="0" w:color="000000"/>
            </w:tcBorders>
          </w:tcPr>
          <w:p w:rsidR="001E2838" w:rsidRPr="00DD275D" w:rsidRDefault="001E2838">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PIN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rsidP="00DD275D">
            <w:pPr>
              <w:jc w:val="left"/>
              <w:rPr>
                <w:b w:val="0"/>
                <w:sz w:val="24"/>
                <w:szCs w:val="24"/>
                <w:lang w:val="en-US"/>
              </w:rPr>
            </w:pPr>
            <w:r w:rsidRPr="00401AD4">
              <w:rPr>
                <w:b w:val="0"/>
              </w:rPr>
              <w:t>Personal investments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CIN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Commercial investments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CRP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Credit card payment</w:t>
            </w:r>
          </w:p>
        </w:tc>
      </w:tr>
      <w:tr w:rsidR="001E2838" w:rsidRPr="007710A5"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TOF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rsidP="007710A5">
            <w:pPr>
              <w:spacing w:line="259" w:lineRule="auto"/>
              <w:jc w:val="left"/>
              <w:rPr>
                <w:b w:val="0"/>
                <w:lang w:val="en-US"/>
              </w:rPr>
            </w:pPr>
            <w:r w:rsidRPr="00401AD4">
              <w:rPr>
                <w:b w:val="0"/>
                <w:lang w:val="en-US"/>
              </w:rPr>
              <w:t>Transfer of funds between individuals and legal entities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Pr="007710A5" w:rsidRDefault="001E2838">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IGT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Inter group transfer</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OAT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Own account transfer</w:t>
            </w:r>
          </w:p>
        </w:tc>
      </w:tr>
      <w:tr w:rsidR="001E2838" w:rsidRPr="00401AD4"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SVI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lang w:val="en-US"/>
              </w:rPr>
            </w:pPr>
            <w:r w:rsidRPr="00401AD4">
              <w:rPr>
                <w:b w:val="0"/>
                <w:lang w:val="en-US"/>
              </w:rPr>
              <w:t>Stored value card cash-in</w:t>
            </w:r>
          </w:p>
        </w:tc>
      </w:tr>
      <w:tr w:rsidR="001E2838" w:rsidRPr="00401AD4"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Pr="00401AD4" w:rsidRDefault="001E2838">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SVO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lang w:val="en-US"/>
              </w:rPr>
            </w:pPr>
            <w:r w:rsidRPr="00401AD4">
              <w:rPr>
                <w:b w:val="0"/>
                <w:lang w:val="en-US"/>
              </w:rPr>
              <w:t>Stored value card cash-out</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Pr="00401AD4" w:rsidRDefault="001E2838">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SVP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Stored value card payments</w:t>
            </w:r>
          </w:p>
        </w:tc>
      </w:tr>
      <w:tr w:rsidR="001E2838" w:rsidRPr="00401AD4"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MWI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lang w:val="en-US"/>
              </w:rPr>
            </w:pPr>
            <w:r w:rsidRPr="00401AD4">
              <w:rPr>
                <w:b w:val="0"/>
                <w:lang w:val="en-US"/>
              </w:rPr>
              <w:t>Mobile wallet card cash-in</w:t>
            </w:r>
          </w:p>
        </w:tc>
      </w:tr>
      <w:tr w:rsidR="001E2838" w:rsidRPr="00401AD4"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Pr="00401AD4" w:rsidRDefault="001E2838">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MWO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lang w:val="en-US"/>
              </w:rPr>
            </w:pPr>
            <w:r w:rsidRPr="00401AD4">
              <w:rPr>
                <w:b w:val="0"/>
                <w:lang w:val="en-US"/>
              </w:rPr>
              <w:t>Mobile wallet card cash-out</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Pr="00401AD4" w:rsidRDefault="001E2838">
            <w:pPr>
              <w:spacing w:after="160" w:line="259" w:lineRule="auto"/>
              <w:jc w:val="left"/>
              <w:rPr>
                <w:lang w:val="en-US"/>
              </w:rPr>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MWP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Mobile wallet card payments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PRP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Profit rate swap payments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PRW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Profit rate unwind payments</w:t>
            </w:r>
          </w:p>
        </w:tc>
      </w:tr>
      <w:tr w:rsidR="001E2838" w:rsidTr="00573705">
        <w:tblPrEx>
          <w:tblCellMar>
            <w:right w:w="0" w:type="dxa"/>
          </w:tblCellMar>
        </w:tblPrEx>
        <w:trPr>
          <w:trHeight w:val="240"/>
        </w:trPr>
        <w:tc>
          <w:tcPr>
            <w:tcW w:w="0" w:type="auto"/>
            <w:vMerge/>
            <w:tcBorders>
              <w:left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IRP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Interest rate swap payments</w:t>
            </w:r>
          </w:p>
        </w:tc>
      </w:tr>
      <w:tr w:rsidR="001E2838" w:rsidTr="00573705">
        <w:tblPrEx>
          <w:tblCellMar>
            <w:right w:w="0" w:type="dxa"/>
          </w:tblCellMar>
        </w:tblPrEx>
        <w:trPr>
          <w:trHeight w:val="240"/>
        </w:trPr>
        <w:tc>
          <w:tcPr>
            <w:tcW w:w="0" w:type="auto"/>
            <w:vMerge/>
            <w:tcBorders>
              <w:left w:val="single" w:sz="4" w:space="0" w:color="000000"/>
              <w:bottom w:val="single" w:sz="4" w:space="0" w:color="000000"/>
              <w:right w:val="single" w:sz="4" w:space="0" w:color="000000"/>
            </w:tcBorders>
          </w:tcPr>
          <w:p w:rsidR="001E2838" w:rsidRDefault="001E2838">
            <w:pPr>
              <w:spacing w:after="160" w:line="259" w:lineRule="auto"/>
              <w:jc w:val="left"/>
            </w:pPr>
          </w:p>
        </w:tc>
        <w:tc>
          <w:tcPr>
            <w:tcW w:w="1148" w:type="dxa"/>
            <w:tcBorders>
              <w:top w:val="single" w:sz="4" w:space="0" w:color="000000"/>
              <w:left w:val="single" w:sz="4" w:space="0" w:color="000000"/>
              <w:bottom w:val="single" w:sz="4" w:space="0" w:color="000000"/>
              <w:right w:val="single" w:sz="4" w:space="0" w:color="000000"/>
            </w:tcBorders>
          </w:tcPr>
          <w:p w:rsidR="001E2838" w:rsidRDefault="001E2838">
            <w:pPr>
              <w:spacing w:line="259" w:lineRule="auto"/>
              <w:ind w:left="2"/>
              <w:jc w:val="left"/>
            </w:pPr>
            <w:r>
              <w:rPr>
                <w:b w:val="0"/>
              </w:rPr>
              <w:t xml:space="preserve">IRW </w:t>
            </w:r>
          </w:p>
        </w:tc>
        <w:tc>
          <w:tcPr>
            <w:tcW w:w="6673" w:type="dxa"/>
            <w:tcBorders>
              <w:top w:val="single" w:sz="4" w:space="0" w:color="000000"/>
              <w:left w:val="single" w:sz="4" w:space="0" w:color="000000"/>
              <w:bottom w:val="single" w:sz="4" w:space="0" w:color="000000"/>
              <w:right w:val="single" w:sz="4" w:space="0" w:color="000000"/>
            </w:tcBorders>
          </w:tcPr>
          <w:p w:rsidR="001E2838" w:rsidRPr="00401AD4" w:rsidRDefault="00401AD4">
            <w:pPr>
              <w:spacing w:line="259" w:lineRule="auto"/>
              <w:jc w:val="left"/>
              <w:rPr>
                <w:b w:val="0"/>
              </w:rPr>
            </w:pPr>
            <w:r w:rsidRPr="00401AD4">
              <w:rPr>
                <w:b w:val="0"/>
              </w:rPr>
              <w:t>Interest rate unwind payments</w:t>
            </w:r>
          </w:p>
        </w:tc>
      </w:tr>
    </w:tbl>
    <w:p w:rsidR="005F50B4" w:rsidRDefault="007764A7">
      <w:pPr>
        <w:spacing w:line="259" w:lineRule="auto"/>
        <w:jc w:val="both"/>
      </w:pPr>
      <w:r>
        <w:rPr>
          <w:b w:val="0"/>
        </w:rPr>
        <w:t xml:space="preserve"> </w:t>
      </w:r>
    </w:p>
    <w:sectPr w:rsidR="005F50B4" w:rsidSect="00043990">
      <w:footerReference w:type="even" r:id="rId6"/>
      <w:footerReference w:type="default" r:id="rId7"/>
      <w:footerReference w:type="first" r:id="rId8"/>
      <w:pgSz w:w="11906" w:h="16838"/>
      <w:pgMar w:top="1138" w:right="995" w:bottom="1337" w:left="170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D0" w:rsidRDefault="003D09D0">
      <w:pPr>
        <w:spacing w:line="240" w:lineRule="auto"/>
      </w:pPr>
      <w:r>
        <w:separator/>
      </w:r>
    </w:p>
  </w:endnote>
  <w:endnote w:type="continuationSeparator" w:id="0">
    <w:p w:rsidR="003D09D0" w:rsidRDefault="003D0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B4" w:rsidRDefault="004D0F58">
    <w:pPr>
      <w:spacing w:line="259" w:lineRule="auto"/>
      <w:ind w:right="-146"/>
      <w:jc w:val="right"/>
    </w:pPr>
    <w:r>
      <w:fldChar w:fldCharType="begin"/>
    </w:r>
    <w:r w:rsidR="007764A7">
      <w:instrText xml:space="preserve"> PAGE   \* MERGEFORMAT </w:instrText>
    </w:r>
    <w:r>
      <w:fldChar w:fldCharType="separate"/>
    </w:r>
    <w:r w:rsidR="007764A7">
      <w:rPr>
        <w:b w:val="0"/>
        <w:sz w:val="24"/>
      </w:rPr>
      <w:t>1</w:t>
    </w:r>
    <w:r>
      <w:rPr>
        <w:b w:val="0"/>
        <w:sz w:val="24"/>
      </w:rPr>
      <w:fldChar w:fldCharType="end"/>
    </w:r>
    <w:r w:rsidR="007764A7">
      <w:rPr>
        <w:b w:val="0"/>
        <w:sz w:val="24"/>
      </w:rPr>
      <w:t xml:space="preserve"> </w:t>
    </w:r>
  </w:p>
  <w:p w:rsidR="005F50B4" w:rsidRDefault="007764A7">
    <w:pPr>
      <w:spacing w:line="259" w:lineRule="auto"/>
      <w:jc w:val="left"/>
    </w:pPr>
    <w:r>
      <w:rPr>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B4" w:rsidRDefault="004D0F58">
    <w:pPr>
      <w:spacing w:line="259" w:lineRule="auto"/>
      <w:ind w:right="-146"/>
      <w:jc w:val="right"/>
    </w:pPr>
    <w:r>
      <w:fldChar w:fldCharType="begin"/>
    </w:r>
    <w:r w:rsidR="007764A7">
      <w:instrText xml:space="preserve"> PAGE   \* MERGEFORMAT </w:instrText>
    </w:r>
    <w:r>
      <w:fldChar w:fldCharType="separate"/>
    </w:r>
    <w:r w:rsidR="00CC53B8" w:rsidRPr="00CC53B8">
      <w:rPr>
        <w:b w:val="0"/>
        <w:noProof/>
        <w:sz w:val="24"/>
      </w:rPr>
      <w:t>1</w:t>
    </w:r>
    <w:r>
      <w:rPr>
        <w:b w:val="0"/>
        <w:sz w:val="24"/>
      </w:rPr>
      <w:fldChar w:fldCharType="end"/>
    </w:r>
    <w:r w:rsidR="007764A7">
      <w:rPr>
        <w:b w:val="0"/>
        <w:sz w:val="24"/>
      </w:rPr>
      <w:t xml:space="preserve"> </w:t>
    </w:r>
  </w:p>
  <w:p w:rsidR="005F50B4" w:rsidRDefault="007764A7">
    <w:pPr>
      <w:spacing w:line="259" w:lineRule="auto"/>
      <w:jc w:val="left"/>
    </w:pPr>
    <w:r>
      <w:rPr>
        <w:b w:val="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B4" w:rsidRDefault="004D0F58">
    <w:pPr>
      <w:spacing w:line="259" w:lineRule="auto"/>
      <w:ind w:right="-146"/>
      <w:jc w:val="right"/>
    </w:pPr>
    <w:r>
      <w:fldChar w:fldCharType="begin"/>
    </w:r>
    <w:r w:rsidR="007764A7">
      <w:instrText xml:space="preserve"> PAGE   \* MERGEFORMAT </w:instrText>
    </w:r>
    <w:r>
      <w:fldChar w:fldCharType="separate"/>
    </w:r>
    <w:r w:rsidR="007764A7">
      <w:rPr>
        <w:b w:val="0"/>
        <w:sz w:val="24"/>
      </w:rPr>
      <w:t>1</w:t>
    </w:r>
    <w:r>
      <w:rPr>
        <w:b w:val="0"/>
        <w:sz w:val="24"/>
      </w:rPr>
      <w:fldChar w:fldCharType="end"/>
    </w:r>
    <w:r w:rsidR="007764A7">
      <w:rPr>
        <w:b w:val="0"/>
        <w:sz w:val="24"/>
      </w:rPr>
      <w:t xml:space="preserve"> </w:t>
    </w:r>
  </w:p>
  <w:p w:rsidR="005F50B4" w:rsidRDefault="007764A7">
    <w:pPr>
      <w:spacing w:line="259" w:lineRule="auto"/>
      <w:jc w:val="left"/>
    </w:pPr>
    <w:r>
      <w:rPr>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D0" w:rsidRDefault="003D09D0">
      <w:pPr>
        <w:spacing w:line="240" w:lineRule="auto"/>
      </w:pPr>
      <w:r>
        <w:separator/>
      </w:r>
    </w:p>
  </w:footnote>
  <w:footnote w:type="continuationSeparator" w:id="0">
    <w:p w:rsidR="003D09D0" w:rsidRDefault="003D09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B4"/>
    <w:rsid w:val="00001269"/>
    <w:rsid w:val="000154E4"/>
    <w:rsid w:val="00043990"/>
    <w:rsid w:val="000460F0"/>
    <w:rsid w:val="000A1FBE"/>
    <w:rsid w:val="0015334C"/>
    <w:rsid w:val="001E2838"/>
    <w:rsid w:val="00206081"/>
    <w:rsid w:val="002248F4"/>
    <w:rsid w:val="00233639"/>
    <w:rsid w:val="00240D9C"/>
    <w:rsid w:val="002A53A0"/>
    <w:rsid w:val="0030415A"/>
    <w:rsid w:val="00336B62"/>
    <w:rsid w:val="003A63B8"/>
    <w:rsid w:val="003D09D0"/>
    <w:rsid w:val="003E1247"/>
    <w:rsid w:val="00401AD4"/>
    <w:rsid w:val="004348ED"/>
    <w:rsid w:val="00480C08"/>
    <w:rsid w:val="004D0F58"/>
    <w:rsid w:val="004D6E9E"/>
    <w:rsid w:val="00511E8C"/>
    <w:rsid w:val="0052189E"/>
    <w:rsid w:val="005427D0"/>
    <w:rsid w:val="00565047"/>
    <w:rsid w:val="0058520B"/>
    <w:rsid w:val="005D3ED2"/>
    <w:rsid w:val="005F10BB"/>
    <w:rsid w:val="005F50B4"/>
    <w:rsid w:val="00652E2E"/>
    <w:rsid w:val="0072282E"/>
    <w:rsid w:val="00736145"/>
    <w:rsid w:val="00745058"/>
    <w:rsid w:val="007644EB"/>
    <w:rsid w:val="007710A5"/>
    <w:rsid w:val="007764A7"/>
    <w:rsid w:val="007C6468"/>
    <w:rsid w:val="008125FE"/>
    <w:rsid w:val="00832270"/>
    <w:rsid w:val="00883C05"/>
    <w:rsid w:val="008A2EF9"/>
    <w:rsid w:val="009952E6"/>
    <w:rsid w:val="009B313B"/>
    <w:rsid w:val="00AE1F08"/>
    <w:rsid w:val="00AF30C7"/>
    <w:rsid w:val="00AF617E"/>
    <w:rsid w:val="00BD1883"/>
    <w:rsid w:val="00BD65FC"/>
    <w:rsid w:val="00C434CA"/>
    <w:rsid w:val="00C628F6"/>
    <w:rsid w:val="00CC53B8"/>
    <w:rsid w:val="00D1576A"/>
    <w:rsid w:val="00D4682F"/>
    <w:rsid w:val="00DD275D"/>
    <w:rsid w:val="00DD4811"/>
    <w:rsid w:val="00E13F82"/>
    <w:rsid w:val="00E8199D"/>
    <w:rsid w:val="00EB5256"/>
    <w:rsid w:val="00F20954"/>
    <w:rsid w:val="00F32AEE"/>
    <w:rsid w:val="00F62EB3"/>
    <w:rsid w:val="00F86969"/>
    <w:rsid w:val="00FB297A"/>
    <w:rsid w:val="00FB6974"/>
    <w:rsid w:val="00FD1A32"/>
    <w:rsid w:val="00FE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C8CB6-7D7E-46FC-85C5-614959FF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990"/>
    <w:pPr>
      <w:spacing w:after="0" w:line="265" w:lineRule="auto"/>
      <w:jc w:val="center"/>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439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8199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99D"/>
    <w:rPr>
      <w:rFonts w:ascii="Tahoma" w:eastAsia="Arial" w:hAnsi="Tahoma" w:cs="Tahoma"/>
      <w:b/>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2210">
      <w:bodyDiv w:val="1"/>
      <w:marLeft w:val="0"/>
      <w:marRight w:val="0"/>
      <w:marTop w:val="0"/>
      <w:marBottom w:val="0"/>
      <w:divBdr>
        <w:top w:val="none" w:sz="0" w:space="0" w:color="auto"/>
        <w:left w:val="none" w:sz="0" w:space="0" w:color="auto"/>
        <w:bottom w:val="none" w:sz="0" w:space="0" w:color="auto"/>
        <w:right w:val="none" w:sz="0" w:space="0" w:color="auto"/>
      </w:divBdr>
    </w:div>
    <w:div w:id="253321461">
      <w:bodyDiv w:val="1"/>
      <w:marLeft w:val="0"/>
      <w:marRight w:val="0"/>
      <w:marTop w:val="0"/>
      <w:marBottom w:val="0"/>
      <w:divBdr>
        <w:top w:val="none" w:sz="0" w:space="0" w:color="auto"/>
        <w:left w:val="none" w:sz="0" w:space="0" w:color="auto"/>
        <w:bottom w:val="none" w:sz="0" w:space="0" w:color="auto"/>
        <w:right w:val="none" w:sz="0" w:space="0" w:color="auto"/>
      </w:divBdr>
    </w:div>
    <w:div w:id="280452942">
      <w:bodyDiv w:val="1"/>
      <w:marLeft w:val="0"/>
      <w:marRight w:val="0"/>
      <w:marTop w:val="0"/>
      <w:marBottom w:val="0"/>
      <w:divBdr>
        <w:top w:val="none" w:sz="0" w:space="0" w:color="auto"/>
        <w:left w:val="none" w:sz="0" w:space="0" w:color="auto"/>
        <w:bottom w:val="none" w:sz="0" w:space="0" w:color="auto"/>
        <w:right w:val="none" w:sz="0" w:space="0" w:color="auto"/>
      </w:divBdr>
    </w:div>
    <w:div w:id="593974976">
      <w:bodyDiv w:val="1"/>
      <w:marLeft w:val="0"/>
      <w:marRight w:val="0"/>
      <w:marTop w:val="0"/>
      <w:marBottom w:val="0"/>
      <w:divBdr>
        <w:top w:val="none" w:sz="0" w:space="0" w:color="auto"/>
        <w:left w:val="none" w:sz="0" w:space="0" w:color="auto"/>
        <w:bottom w:val="none" w:sz="0" w:space="0" w:color="auto"/>
        <w:right w:val="none" w:sz="0" w:space="0" w:color="auto"/>
      </w:divBdr>
    </w:div>
    <w:div w:id="625935692">
      <w:bodyDiv w:val="1"/>
      <w:marLeft w:val="0"/>
      <w:marRight w:val="0"/>
      <w:marTop w:val="0"/>
      <w:marBottom w:val="0"/>
      <w:divBdr>
        <w:top w:val="none" w:sz="0" w:space="0" w:color="auto"/>
        <w:left w:val="none" w:sz="0" w:space="0" w:color="auto"/>
        <w:bottom w:val="none" w:sz="0" w:space="0" w:color="auto"/>
        <w:right w:val="none" w:sz="0" w:space="0" w:color="auto"/>
      </w:divBdr>
    </w:div>
    <w:div w:id="851454036">
      <w:bodyDiv w:val="1"/>
      <w:marLeft w:val="0"/>
      <w:marRight w:val="0"/>
      <w:marTop w:val="0"/>
      <w:marBottom w:val="0"/>
      <w:divBdr>
        <w:top w:val="none" w:sz="0" w:space="0" w:color="auto"/>
        <w:left w:val="none" w:sz="0" w:space="0" w:color="auto"/>
        <w:bottom w:val="none" w:sz="0" w:space="0" w:color="auto"/>
        <w:right w:val="none" w:sz="0" w:space="0" w:color="auto"/>
      </w:divBdr>
    </w:div>
    <w:div w:id="941568497">
      <w:bodyDiv w:val="1"/>
      <w:marLeft w:val="0"/>
      <w:marRight w:val="0"/>
      <w:marTop w:val="0"/>
      <w:marBottom w:val="0"/>
      <w:divBdr>
        <w:top w:val="none" w:sz="0" w:space="0" w:color="auto"/>
        <w:left w:val="none" w:sz="0" w:space="0" w:color="auto"/>
        <w:bottom w:val="none" w:sz="0" w:space="0" w:color="auto"/>
        <w:right w:val="none" w:sz="0" w:space="0" w:color="auto"/>
      </w:divBdr>
    </w:div>
    <w:div w:id="1052464205">
      <w:bodyDiv w:val="1"/>
      <w:marLeft w:val="0"/>
      <w:marRight w:val="0"/>
      <w:marTop w:val="0"/>
      <w:marBottom w:val="0"/>
      <w:divBdr>
        <w:top w:val="none" w:sz="0" w:space="0" w:color="auto"/>
        <w:left w:val="none" w:sz="0" w:space="0" w:color="auto"/>
        <w:bottom w:val="none" w:sz="0" w:space="0" w:color="auto"/>
        <w:right w:val="none" w:sz="0" w:space="0" w:color="auto"/>
      </w:divBdr>
    </w:div>
    <w:div w:id="1068499603">
      <w:bodyDiv w:val="1"/>
      <w:marLeft w:val="0"/>
      <w:marRight w:val="0"/>
      <w:marTop w:val="0"/>
      <w:marBottom w:val="0"/>
      <w:divBdr>
        <w:top w:val="none" w:sz="0" w:space="0" w:color="auto"/>
        <w:left w:val="none" w:sz="0" w:space="0" w:color="auto"/>
        <w:bottom w:val="none" w:sz="0" w:space="0" w:color="auto"/>
        <w:right w:val="none" w:sz="0" w:space="0" w:color="auto"/>
      </w:divBdr>
    </w:div>
    <w:div w:id="1149636565">
      <w:bodyDiv w:val="1"/>
      <w:marLeft w:val="0"/>
      <w:marRight w:val="0"/>
      <w:marTop w:val="0"/>
      <w:marBottom w:val="0"/>
      <w:divBdr>
        <w:top w:val="none" w:sz="0" w:space="0" w:color="auto"/>
        <w:left w:val="none" w:sz="0" w:space="0" w:color="auto"/>
        <w:bottom w:val="none" w:sz="0" w:space="0" w:color="auto"/>
        <w:right w:val="none" w:sz="0" w:space="0" w:color="auto"/>
      </w:divBdr>
    </w:div>
    <w:div w:id="1352413376">
      <w:bodyDiv w:val="1"/>
      <w:marLeft w:val="0"/>
      <w:marRight w:val="0"/>
      <w:marTop w:val="0"/>
      <w:marBottom w:val="0"/>
      <w:divBdr>
        <w:top w:val="none" w:sz="0" w:space="0" w:color="auto"/>
        <w:left w:val="none" w:sz="0" w:space="0" w:color="auto"/>
        <w:bottom w:val="none" w:sz="0" w:space="0" w:color="auto"/>
        <w:right w:val="none" w:sz="0" w:space="0" w:color="auto"/>
      </w:divBdr>
    </w:div>
    <w:div w:id="1861628873">
      <w:bodyDiv w:val="1"/>
      <w:marLeft w:val="0"/>
      <w:marRight w:val="0"/>
      <w:marTop w:val="0"/>
      <w:marBottom w:val="0"/>
      <w:divBdr>
        <w:top w:val="none" w:sz="0" w:space="0" w:color="auto"/>
        <w:left w:val="none" w:sz="0" w:space="0" w:color="auto"/>
        <w:bottom w:val="none" w:sz="0" w:space="0" w:color="auto"/>
        <w:right w:val="none" w:sz="0" w:space="0" w:color="auto"/>
      </w:divBdr>
    </w:div>
    <w:div w:id="1863008932">
      <w:bodyDiv w:val="1"/>
      <w:marLeft w:val="0"/>
      <w:marRight w:val="0"/>
      <w:marTop w:val="0"/>
      <w:marBottom w:val="0"/>
      <w:divBdr>
        <w:top w:val="none" w:sz="0" w:space="0" w:color="auto"/>
        <w:left w:val="none" w:sz="0" w:space="0" w:color="auto"/>
        <w:bottom w:val="none" w:sz="0" w:space="0" w:color="auto"/>
        <w:right w:val="none" w:sz="0" w:space="0" w:color="auto"/>
      </w:divBdr>
    </w:div>
    <w:div w:id="1888176817">
      <w:bodyDiv w:val="1"/>
      <w:marLeft w:val="0"/>
      <w:marRight w:val="0"/>
      <w:marTop w:val="0"/>
      <w:marBottom w:val="0"/>
      <w:divBdr>
        <w:top w:val="none" w:sz="0" w:space="0" w:color="auto"/>
        <w:left w:val="none" w:sz="0" w:space="0" w:color="auto"/>
        <w:bottom w:val="none" w:sz="0" w:space="0" w:color="auto"/>
        <w:right w:val="none" w:sz="0" w:space="0" w:color="auto"/>
      </w:divBdr>
    </w:div>
    <w:div w:id="1903172289">
      <w:bodyDiv w:val="1"/>
      <w:marLeft w:val="0"/>
      <w:marRight w:val="0"/>
      <w:marTop w:val="0"/>
      <w:marBottom w:val="0"/>
      <w:divBdr>
        <w:top w:val="none" w:sz="0" w:space="0" w:color="auto"/>
        <w:left w:val="none" w:sz="0" w:space="0" w:color="auto"/>
        <w:bottom w:val="none" w:sz="0" w:space="0" w:color="auto"/>
        <w:right w:val="none" w:sz="0" w:space="0" w:color="auto"/>
      </w:divBdr>
    </w:div>
    <w:div w:id="203623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Khatsenka</dc:creator>
  <cp:lastModifiedBy>Максимчук</cp:lastModifiedBy>
  <cp:revision>1</cp:revision>
  <dcterms:created xsi:type="dcterms:W3CDTF">2020-01-14T08:47:00Z</dcterms:created>
  <dcterms:modified xsi:type="dcterms:W3CDTF">2020-01-14T08:47:00Z</dcterms:modified>
</cp:coreProperties>
</file>